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D4" w:rsidRPr="008728D3" w:rsidRDefault="00EB78D4" w:rsidP="00812E31">
      <w:pPr>
        <w:pStyle w:val="Ttulo4"/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8728D3">
        <w:rPr>
          <w:rFonts w:ascii="Century Gothic" w:hAnsi="Century Gothic"/>
          <w:sz w:val="22"/>
          <w:szCs w:val="22"/>
        </w:rPr>
        <w:t xml:space="preserve">                                                     </w:t>
      </w:r>
      <w:r w:rsidR="00C657BF" w:rsidRPr="008728D3">
        <w:rPr>
          <w:rFonts w:ascii="Century Gothic" w:hAnsi="Century Gothic"/>
          <w:sz w:val="22"/>
          <w:szCs w:val="22"/>
        </w:rPr>
        <w:t xml:space="preserve">               </w:t>
      </w:r>
      <w:r w:rsidR="002F3375">
        <w:rPr>
          <w:rFonts w:ascii="Century Gothic" w:hAnsi="Century Gothic"/>
          <w:sz w:val="22"/>
          <w:szCs w:val="22"/>
        </w:rPr>
        <w:t xml:space="preserve"> </w:t>
      </w:r>
      <w:r w:rsidR="009F7E6B" w:rsidRPr="008728D3">
        <w:rPr>
          <w:rFonts w:ascii="Century Gothic" w:hAnsi="Century Gothic"/>
          <w:sz w:val="22"/>
          <w:szCs w:val="22"/>
        </w:rPr>
        <w:t xml:space="preserve"> PARANÁ,  </w:t>
      </w:r>
      <w:r w:rsidR="00BE4936">
        <w:rPr>
          <w:rFonts w:ascii="Century Gothic" w:hAnsi="Century Gothic"/>
          <w:sz w:val="22"/>
          <w:szCs w:val="22"/>
        </w:rPr>
        <w:t>03 de Julio de 2019</w:t>
      </w:r>
    </w:p>
    <w:p w:rsidR="00C06F01" w:rsidRPr="008728D3" w:rsidRDefault="00C06F01" w:rsidP="00812E31">
      <w:pPr>
        <w:spacing w:line="288" w:lineRule="auto"/>
        <w:ind w:left="708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EB78D4" w:rsidRPr="008728D3" w:rsidRDefault="00EB78D4" w:rsidP="00812E31">
      <w:pPr>
        <w:spacing w:line="288" w:lineRule="auto"/>
        <w:ind w:left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8728D3">
        <w:rPr>
          <w:rFonts w:ascii="Century Gothic" w:hAnsi="Century Gothic" w:cs="Tahoma"/>
          <w:b/>
          <w:bCs/>
          <w:sz w:val="22"/>
          <w:szCs w:val="22"/>
        </w:rPr>
        <w:t>VISTO</w:t>
      </w:r>
      <w:r w:rsidR="00885695" w:rsidRPr="008728D3">
        <w:rPr>
          <w:rFonts w:ascii="Century Gothic" w:hAnsi="Century Gothic" w:cs="Tahoma"/>
          <w:b/>
          <w:bCs/>
          <w:sz w:val="22"/>
          <w:szCs w:val="22"/>
        </w:rPr>
        <w:t>:</w:t>
      </w:r>
    </w:p>
    <w:p w:rsidR="00C657BF" w:rsidRPr="008728D3" w:rsidRDefault="00C657BF" w:rsidP="00812E31">
      <w:pPr>
        <w:spacing w:line="288" w:lineRule="auto"/>
        <w:jc w:val="both"/>
        <w:rPr>
          <w:rFonts w:ascii="Century Gothic" w:hAnsi="Century Gothic" w:cs="Tahoma"/>
          <w:sz w:val="22"/>
          <w:szCs w:val="22"/>
        </w:rPr>
      </w:pPr>
    </w:p>
    <w:p w:rsidR="00EB78D4" w:rsidRPr="008728D3" w:rsidRDefault="00F06DC3" w:rsidP="00812E31">
      <w:pPr>
        <w:spacing w:line="288" w:lineRule="auto"/>
        <w:jc w:val="both"/>
        <w:rPr>
          <w:rFonts w:ascii="Century Gothic" w:hAnsi="Century Gothic" w:cs="Calibri"/>
          <w:bCs/>
          <w:color w:val="000000"/>
          <w:sz w:val="22"/>
          <w:szCs w:val="22"/>
        </w:rPr>
      </w:pPr>
      <w:r w:rsidRPr="008728D3">
        <w:rPr>
          <w:rFonts w:ascii="Century Gothic" w:hAnsi="Century Gothic"/>
          <w:sz w:val="22"/>
          <w:szCs w:val="22"/>
        </w:rPr>
        <w:t xml:space="preserve"> </w:t>
      </w:r>
      <w:r w:rsidRPr="008728D3">
        <w:rPr>
          <w:rFonts w:ascii="Century Gothic" w:hAnsi="Century Gothic"/>
          <w:sz w:val="22"/>
          <w:szCs w:val="22"/>
        </w:rPr>
        <w:tab/>
      </w:r>
      <w:r w:rsidR="00885695" w:rsidRPr="008728D3">
        <w:rPr>
          <w:rFonts w:ascii="Century Gothic" w:hAnsi="Century Gothic"/>
          <w:sz w:val="22"/>
          <w:szCs w:val="22"/>
        </w:rPr>
        <w:tab/>
      </w:r>
      <w:r w:rsidR="00C40FB7" w:rsidRPr="008728D3">
        <w:rPr>
          <w:rFonts w:ascii="Century Gothic" w:hAnsi="Century Gothic"/>
          <w:sz w:val="22"/>
          <w:szCs w:val="22"/>
        </w:rPr>
        <w:t>La ley N° 10.436, que regula el modo de designación de autoridades del Tribunal de Cuentas de Entre Ríos y los Decretos N° 2719/16, 1145/17 y 2664/18, que reglamentan dicha Ley, y;</w:t>
      </w:r>
    </w:p>
    <w:p w:rsidR="00C657BF" w:rsidRPr="008728D3" w:rsidRDefault="00C657BF" w:rsidP="00812E31">
      <w:pPr>
        <w:spacing w:line="288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8006C4" w:rsidRPr="008728D3" w:rsidRDefault="00C657BF" w:rsidP="00812E31">
      <w:pPr>
        <w:spacing w:line="288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8728D3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Pr="008728D3">
        <w:rPr>
          <w:rFonts w:ascii="Century Gothic" w:hAnsi="Century Gothic" w:cs="Tahoma"/>
          <w:b/>
          <w:bCs/>
          <w:sz w:val="22"/>
          <w:szCs w:val="22"/>
        </w:rPr>
        <w:tab/>
      </w:r>
      <w:r w:rsidR="00EB78D4" w:rsidRPr="008728D3">
        <w:rPr>
          <w:rFonts w:ascii="Century Gothic" w:hAnsi="Century Gothic" w:cs="Tahoma"/>
          <w:b/>
          <w:bCs/>
          <w:sz w:val="22"/>
          <w:szCs w:val="22"/>
        </w:rPr>
        <w:t xml:space="preserve">CONSIDERANDO:  </w:t>
      </w:r>
    </w:p>
    <w:p w:rsidR="00A012C6" w:rsidRPr="008728D3" w:rsidRDefault="00885695" w:rsidP="00812E31">
      <w:pPr>
        <w:pStyle w:val="Textoindependiente"/>
        <w:spacing w:line="288" w:lineRule="auto"/>
        <w:rPr>
          <w:rFonts w:ascii="Century Gothic" w:hAnsi="Century Gothic"/>
          <w:sz w:val="22"/>
          <w:szCs w:val="22"/>
        </w:rPr>
      </w:pPr>
      <w:r w:rsidRPr="008728D3">
        <w:rPr>
          <w:rFonts w:ascii="Century Gothic" w:hAnsi="Century Gothic"/>
          <w:sz w:val="22"/>
          <w:szCs w:val="22"/>
        </w:rPr>
        <w:t xml:space="preserve"> </w:t>
      </w:r>
      <w:r w:rsidRPr="008728D3">
        <w:rPr>
          <w:rFonts w:ascii="Century Gothic" w:hAnsi="Century Gothic"/>
          <w:sz w:val="22"/>
          <w:szCs w:val="22"/>
        </w:rPr>
        <w:tab/>
      </w:r>
      <w:r w:rsidRPr="008728D3">
        <w:rPr>
          <w:rFonts w:ascii="Century Gothic" w:hAnsi="Century Gothic"/>
          <w:sz w:val="22"/>
          <w:szCs w:val="22"/>
        </w:rPr>
        <w:tab/>
      </w:r>
    </w:p>
    <w:p w:rsidR="00975F2F" w:rsidRPr="008728D3" w:rsidRDefault="00A54791" w:rsidP="00975F2F">
      <w:pPr>
        <w:pStyle w:val="Textoindependiente"/>
        <w:spacing w:line="288" w:lineRule="auto"/>
        <w:rPr>
          <w:rFonts w:ascii="Century Gothic" w:hAnsi="Century Gothic"/>
          <w:sz w:val="22"/>
          <w:szCs w:val="22"/>
        </w:rPr>
      </w:pPr>
      <w:r w:rsidRPr="008728D3">
        <w:rPr>
          <w:rFonts w:ascii="Century Gothic" w:hAnsi="Century Gothic"/>
          <w:sz w:val="22"/>
          <w:szCs w:val="22"/>
        </w:rPr>
        <w:tab/>
      </w:r>
      <w:r w:rsidR="00A012C6" w:rsidRPr="008728D3">
        <w:rPr>
          <w:rFonts w:ascii="Century Gothic" w:hAnsi="Century Gothic"/>
          <w:sz w:val="22"/>
          <w:szCs w:val="22"/>
        </w:rPr>
        <w:tab/>
      </w:r>
      <w:r w:rsidR="00C40FB7" w:rsidRPr="008728D3">
        <w:rPr>
          <w:rFonts w:ascii="Century Gothic" w:hAnsi="Century Gothic"/>
          <w:sz w:val="22"/>
          <w:szCs w:val="22"/>
        </w:rPr>
        <w:t xml:space="preserve">Que, </w:t>
      </w:r>
      <w:r w:rsidR="00884712" w:rsidRPr="008728D3">
        <w:rPr>
          <w:rFonts w:ascii="Century Gothic" w:hAnsi="Century Gothic"/>
          <w:sz w:val="22"/>
          <w:szCs w:val="22"/>
        </w:rPr>
        <w:t>conforme han quedado establecidas las bases que dan orden a los criterios para la calificación de antecedentes en el</w:t>
      </w:r>
      <w:r w:rsidR="00C40FB7" w:rsidRPr="008728D3">
        <w:rPr>
          <w:rFonts w:ascii="Century Gothic" w:hAnsi="Century Gothic"/>
          <w:sz w:val="22"/>
          <w:szCs w:val="22"/>
        </w:rPr>
        <w:t xml:space="preserve"> Anexo</w:t>
      </w:r>
      <w:r w:rsidR="00884712" w:rsidRPr="008728D3">
        <w:rPr>
          <w:rFonts w:ascii="Century Gothic" w:hAnsi="Century Gothic"/>
          <w:sz w:val="22"/>
          <w:szCs w:val="22"/>
        </w:rPr>
        <w:t xml:space="preserve"> II del </w:t>
      </w:r>
      <w:r w:rsidR="00C40FB7" w:rsidRPr="008728D3">
        <w:rPr>
          <w:rFonts w:ascii="Century Gothic" w:hAnsi="Century Gothic"/>
          <w:sz w:val="22"/>
          <w:szCs w:val="22"/>
        </w:rPr>
        <w:t>Decreto N° 2664/18</w:t>
      </w:r>
      <w:r w:rsidR="00884712" w:rsidRPr="008728D3">
        <w:rPr>
          <w:rFonts w:ascii="Century Gothic" w:hAnsi="Century Gothic"/>
          <w:sz w:val="22"/>
          <w:szCs w:val="22"/>
        </w:rPr>
        <w:t>, este cuerpo de Jurados entiende que es necesario incluir</w:t>
      </w:r>
      <w:r w:rsidR="00B0778F">
        <w:rPr>
          <w:rFonts w:ascii="Century Gothic" w:hAnsi="Century Gothic"/>
          <w:sz w:val="22"/>
          <w:szCs w:val="22"/>
        </w:rPr>
        <w:t>, previo al inicio del periodo de inscripción a los concursos que han sido convocados,</w:t>
      </w:r>
      <w:r w:rsidR="00884712" w:rsidRPr="008728D3">
        <w:rPr>
          <w:rFonts w:ascii="Century Gothic" w:hAnsi="Century Gothic"/>
          <w:sz w:val="22"/>
          <w:szCs w:val="22"/>
        </w:rPr>
        <w:t xml:space="preserve"> una serie de pautas interpretativas en los diferentes rubros que componen los antecedentes,</w:t>
      </w:r>
      <w:r w:rsidR="006875D6" w:rsidRPr="008728D3">
        <w:rPr>
          <w:rFonts w:ascii="Century Gothic" w:hAnsi="Century Gothic"/>
          <w:sz w:val="22"/>
          <w:szCs w:val="22"/>
        </w:rPr>
        <w:t xml:space="preserve"> a los efectos de lograr una valoración acorde con parámetros objetivos y transparentes</w:t>
      </w:r>
      <w:r w:rsidR="00B8138F">
        <w:rPr>
          <w:rFonts w:ascii="Century Gothic" w:hAnsi="Century Gothic"/>
          <w:sz w:val="22"/>
          <w:szCs w:val="22"/>
        </w:rPr>
        <w:t xml:space="preserve"> de mayor especificidad</w:t>
      </w:r>
      <w:r w:rsidR="006875D6" w:rsidRPr="008728D3">
        <w:rPr>
          <w:rFonts w:ascii="Century Gothic" w:hAnsi="Century Gothic"/>
          <w:sz w:val="22"/>
          <w:szCs w:val="22"/>
        </w:rPr>
        <w:t>, tal como lo indica la reseñada ley,</w:t>
      </w:r>
      <w:r w:rsidR="00975F2F" w:rsidRPr="008728D3">
        <w:rPr>
          <w:rFonts w:ascii="Century Gothic" w:hAnsi="Century Gothic"/>
          <w:sz w:val="22"/>
          <w:szCs w:val="22"/>
        </w:rPr>
        <w:t xml:space="preserve"> y</w:t>
      </w:r>
      <w:r w:rsidR="00884712" w:rsidRPr="008728D3">
        <w:rPr>
          <w:rFonts w:ascii="Century Gothic" w:hAnsi="Century Gothic"/>
          <w:sz w:val="22"/>
          <w:szCs w:val="22"/>
        </w:rPr>
        <w:t>;</w:t>
      </w:r>
    </w:p>
    <w:p w:rsidR="00975F2F" w:rsidRPr="008728D3" w:rsidRDefault="00975F2F" w:rsidP="00975F2F">
      <w:pPr>
        <w:pStyle w:val="Textoindependiente"/>
        <w:spacing w:line="288" w:lineRule="auto"/>
        <w:rPr>
          <w:rFonts w:ascii="Century Gothic" w:hAnsi="Century Gothic"/>
          <w:sz w:val="22"/>
          <w:szCs w:val="22"/>
          <w:lang w:val="es-ES_tradnl"/>
        </w:rPr>
      </w:pPr>
    </w:p>
    <w:p w:rsidR="009F7E6B" w:rsidRPr="008728D3" w:rsidRDefault="00975F2F" w:rsidP="008577CD">
      <w:pPr>
        <w:pStyle w:val="Textoindependiente"/>
        <w:spacing w:line="288" w:lineRule="auto"/>
        <w:ind w:firstLine="1416"/>
        <w:rPr>
          <w:rFonts w:ascii="Century Gothic" w:hAnsi="Century Gothic"/>
          <w:sz w:val="22"/>
          <w:szCs w:val="22"/>
          <w:lang w:val="es-ES_tradnl"/>
        </w:rPr>
      </w:pPr>
      <w:r w:rsidRPr="008728D3">
        <w:rPr>
          <w:rFonts w:ascii="Century Gothic" w:hAnsi="Century Gothic"/>
          <w:sz w:val="22"/>
          <w:szCs w:val="22"/>
          <w:lang w:val="es-ES_tradnl"/>
        </w:rPr>
        <w:t xml:space="preserve">Que, </w:t>
      </w:r>
      <w:r w:rsidR="006875D6" w:rsidRPr="008728D3">
        <w:rPr>
          <w:rFonts w:ascii="Century Gothic" w:hAnsi="Century Gothic"/>
          <w:sz w:val="22"/>
          <w:szCs w:val="22"/>
          <w:lang w:val="es-ES_tradnl"/>
        </w:rPr>
        <w:t xml:space="preserve">a tales efectos se incluyen en el Anexo de la presente, las pautas interpretativas que tendrá el Jurado </w:t>
      </w:r>
      <w:r w:rsidR="002F31AB" w:rsidRPr="008728D3">
        <w:rPr>
          <w:rFonts w:ascii="Century Gothic" w:hAnsi="Century Gothic"/>
          <w:sz w:val="22"/>
          <w:szCs w:val="22"/>
          <w:lang w:val="es-ES_tradnl"/>
        </w:rPr>
        <w:t>en relación</w:t>
      </w:r>
      <w:r w:rsidR="006875D6" w:rsidRPr="008728D3">
        <w:rPr>
          <w:rFonts w:ascii="Century Gothic" w:hAnsi="Century Gothic"/>
          <w:sz w:val="22"/>
          <w:szCs w:val="22"/>
          <w:lang w:val="es-ES_tradnl"/>
        </w:rPr>
        <w:t xml:space="preserve"> a los criterios para la calificación de antecedentes </w:t>
      </w:r>
      <w:r w:rsidR="002F31AB" w:rsidRPr="008728D3">
        <w:rPr>
          <w:rFonts w:ascii="Century Gothic" w:hAnsi="Century Gothic"/>
          <w:sz w:val="22"/>
          <w:szCs w:val="22"/>
          <w:lang w:val="es-ES_tradnl"/>
        </w:rPr>
        <w:t>que fueron ordenados</w:t>
      </w:r>
      <w:r w:rsidR="006875D6" w:rsidRPr="008728D3">
        <w:rPr>
          <w:rFonts w:ascii="Century Gothic" w:hAnsi="Century Gothic"/>
          <w:sz w:val="22"/>
          <w:szCs w:val="22"/>
          <w:lang w:val="es-ES_tradnl"/>
        </w:rPr>
        <w:t xml:space="preserve"> en el Decreto 2664/18</w:t>
      </w:r>
      <w:r w:rsidR="002F31AB" w:rsidRPr="008728D3">
        <w:rPr>
          <w:rFonts w:ascii="Century Gothic" w:hAnsi="Century Gothic"/>
          <w:sz w:val="22"/>
          <w:szCs w:val="22"/>
          <w:lang w:val="es-ES_tradnl"/>
        </w:rPr>
        <w:t>, y;</w:t>
      </w:r>
    </w:p>
    <w:p w:rsidR="006B0A01" w:rsidRPr="008728D3" w:rsidRDefault="00DE5C08" w:rsidP="006064EE">
      <w:pPr>
        <w:pStyle w:val="Textoindependiente"/>
        <w:tabs>
          <w:tab w:val="left" w:pos="1890"/>
        </w:tabs>
        <w:spacing w:line="288" w:lineRule="auto"/>
        <w:rPr>
          <w:rFonts w:ascii="Century Gothic" w:hAnsi="Century Gothic"/>
          <w:b/>
          <w:bCs/>
          <w:sz w:val="22"/>
          <w:szCs w:val="22"/>
        </w:rPr>
      </w:pPr>
      <w:r w:rsidRPr="008728D3">
        <w:rPr>
          <w:rFonts w:ascii="Century Gothic" w:hAnsi="Century Gothic"/>
          <w:sz w:val="22"/>
          <w:szCs w:val="22"/>
        </w:rPr>
        <w:tab/>
      </w:r>
    </w:p>
    <w:p w:rsidR="00EB78D4" w:rsidRPr="008728D3" w:rsidRDefault="00C657BF" w:rsidP="00812E31">
      <w:pPr>
        <w:pStyle w:val="Textoindependiente"/>
        <w:spacing w:line="288" w:lineRule="auto"/>
        <w:rPr>
          <w:rFonts w:ascii="Century Gothic" w:hAnsi="Century Gothic"/>
          <w:bCs/>
          <w:sz w:val="22"/>
          <w:szCs w:val="22"/>
        </w:rPr>
      </w:pPr>
      <w:r w:rsidRPr="008728D3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8728D3">
        <w:rPr>
          <w:rFonts w:ascii="Century Gothic" w:hAnsi="Century Gothic"/>
          <w:b/>
          <w:bCs/>
          <w:sz w:val="22"/>
          <w:szCs w:val="22"/>
        </w:rPr>
        <w:tab/>
      </w:r>
      <w:r w:rsidR="00691835" w:rsidRPr="008728D3">
        <w:rPr>
          <w:rFonts w:ascii="Century Gothic" w:hAnsi="Century Gothic"/>
          <w:bCs/>
          <w:sz w:val="22"/>
          <w:szCs w:val="22"/>
        </w:rPr>
        <w:tab/>
      </w:r>
      <w:r w:rsidR="006B0A01" w:rsidRPr="008728D3">
        <w:rPr>
          <w:rFonts w:ascii="Century Gothic" w:hAnsi="Century Gothic"/>
          <w:bCs/>
          <w:sz w:val="22"/>
          <w:szCs w:val="22"/>
        </w:rPr>
        <w:t>Por el</w:t>
      </w:r>
      <w:r w:rsidR="00EB78D4" w:rsidRPr="008728D3">
        <w:rPr>
          <w:rFonts w:ascii="Century Gothic" w:hAnsi="Century Gothic"/>
          <w:bCs/>
          <w:sz w:val="22"/>
          <w:szCs w:val="22"/>
        </w:rPr>
        <w:t>lo;</w:t>
      </w:r>
    </w:p>
    <w:p w:rsidR="006064EE" w:rsidRPr="008728D3" w:rsidRDefault="006064EE" w:rsidP="00812E31">
      <w:pPr>
        <w:pStyle w:val="Ttulo2"/>
        <w:spacing w:line="288" w:lineRule="auto"/>
        <w:rPr>
          <w:rFonts w:ascii="Century Gothic" w:hAnsi="Century Gothic" w:cs="Tahoma"/>
          <w:sz w:val="22"/>
          <w:szCs w:val="22"/>
        </w:rPr>
      </w:pPr>
    </w:p>
    <w:p w:rsidR="00EB78D4" w:rsidRPr="008728D3" w:rsidRDefault="00B8138F" w:rsidP="00812E31">
      <w:pPr>
        <w:pStyle w:val="Ttulo2"/>
        <w:spacing w:line="288" w:lineRule="auto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LOS</w:t>
      </w:r>
      <w:r w:rsidR="00EB78D4" w:rsidRPr="008728D3">
        <w:rPr>
          <w:rFonts w:ascii="Century Gothic" w:hAnsi="Century Gothic" w:cs="Tahoma"/>
          <w:sz w:val="22"/>
          <w:szCs w:val="22"/>
        </w:rPr>
        <w:t xml:space="preserve">  </w:t>
      </w:r>
      <w:r w:rsidR="00C40FB7" w:rsidRPr="008728D3">
        <w:rPr>
          <w:rFonts w:ascii="Century Gothic" w:hAnsi="Century Gothic" w:cs="Tahoma"/>
          <w:sz w:val="22"/>
          <w:szCs w:val="22"/>
        </w:rPr>
        <w:t>JURADO</w:t>
      </w:r>
      <w:r>
        <w:rPr>
          <w:rFonts w:ascii="Century Gothic" w:hAnsi="Century Gothic" w:cs="Tahoma"/>
          <w:sz w:val="22"/>
          <w:szCs w:val="22"/>
        </w:rPr>
        <w:t>S</w:t>
      </w:r>
      <w:r w:rsidR="00AC5BF9" w:rsidRPr="008728D3">
        <w:rPr>
          <w:rFonts w:ascii="Century Gothic" w:hAnsi="Century Gothic" w:cs="Tahoma"/>
          <w:sz w:val="22"/>
          <w:szCs w:val="22"/>
        </w:rPr>
        <w:t xml:space="preserve"> </w:t>
      </w:r>
      <w:r w:rsidR="00EB78D4" w:rsidRPr="008728D3">
        <w:rPr>
          <w:rFonts w:ascii="Century Gothic" w:hAnsi="Century Gothic" w:cs="Tahoma"/>
          <w:sz w:val="22"/>
          <w:szCs w:val="22"/>
        </w:rPr>
        <w:t>DE</w:t>
      </w:r>
      <w:r>
        <w:rPr>
          <w:rFonts w:ascii="Century Gothic" w:hAnsi="Century Gothic" w:cs="Tahoma"/>
          <w:sz w:val="22"/>
          <w:szCs w:val="22"/>
        </w:rPr>
        <w:t xml:space="preserve"> </w:t>
      </w:r>
      <w:r w:rsidR="00EB78D4" w:rsidRPr="008728D3">
        <w:rPr>
          <w:rFonts w:ascii="Century Gothic" w:hAnsi="Century Gothic" w:cs="Tahoma"/>
          <w:sz w:val="22"/>
          <w:szCs w:val="22"/>
        </w:rPr>
        <w:t>L</w:t>
      </w:r>
      <w:r>
        <w:rPr>
          <w:rFonts w:ascii="Century Gothic" w:hAnsi="Century Gothic" w:cs="Tahoma"/>
          <w:sz w:val="22"/>
          <w:szCs w:val="22"/>
        </w:rPr>
        <w:t>OS CONCURSOS Nº 1, 2, 3 Y 4</w:t>
      </w:r>
    </w:p>
    <w:p w:rsidR="00EB78D4" w:rsidRPr="008728D3" w:rsidRDefault="002F3375" w:rsidP="00812E31">
      <w:pPr>
        <w:pStyle w:val="Ttulo2"/>
        <w:spacing w:line="288" w:lineRule="auto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DESTINADOS A CUBRIR CARGOS DEL </w:t>
      </w:r>
      <w:r w:rsidR="00C40FB7" w:rsidRPr="008728D3">
        <w:rPr>
          <w:rFonts w:ascii="Century Gothic" w:hAnsi="Century Gothic" w:cs="Tahoma"/>
          <w:sz w:val="22"/>
          <w:szCs w:val="22"/>
        </w:rPr>
        <w:t>TRIBUNAL DE CUENTAS</w:t>
      </w:r>
      <w:r w:rsidR="00EB78D4" w:rsidRPr="008728D3">
        <w:rPr>
          <w:rFonts w:ascii="Century Gothic" w:hAnsi="Century Gothic" w:cs="Tahoma"/>
          <w:sz w:val="22"/>
          <w:szCs w:val="22"/>
        </w:rPr>
        <w:t xml:space="preserve"> DE ENTRE RIOS</w:t>
      </w:r>
    </w:p>
    <w:p w:rsidR="00EB78D4" w:rsidRPr="008728D3" w:rsidRDefault="00EB78D4" w:rsidP="00812E31">
      <w:pPr>
        <w:pStyle w:val="Ttulo1"/>
        <w:spacing w:line="288" w:lineRule="auto"/>
        <w:rPr>
          <w:rFonts w:ascii="Century Gothic" w:hAnsi="Century Gothic" w:cs="Tahoma"/>
          <w:sz w:val="22"/>
          <w:szCs w:val="22"/>
          <w:u w:val="none"/>
        </w:rPr>
      </w:pPr>
      <w:r w:rsidRPr="008728D3">
        <w:rPr>
          <w:rFonts w:ascii="Century Gothic" w:hAnsi="Century Gothic" w:cs="Tahoma"/>
          <w:sz w:val="22"/>
          <w:szCs w:val="22"/>
          <w:u w:val="none"/>
        </w:rPr>
        <w:t>R</w:t>
      </w:r>
      <w:r w:rsidR="002F3375">
        <w:rPr>
          <w:rFonts w:ascii="Century Gothic" w:hAnsi="Century Gothic" w:cs="Tahoma"/>
          <w:sz w:val="22"/>
          <w:szCs w:val="22"/>
          <w:u w:val="none"/>
        </w:rPr>
        <w:t xml:space="preserve"> </w:t>
      </w:r>
      <w:r w:rsidRPr="008728D3">
        <w:rPr>
          <w:rFonts w:ascii="Century Gothic" w:hAnsi="Century Gothic" w:cs="Tahoma"/>
          <w:sz w:val="22"/>
          <w:szCs w:val="22"/>
          <w:u w:val="none"/>
        </w:rPr>
        <w:t>E</w:t>
      </w:r>
      <w:r w:rsidR="002F3375">
        <w:rPr>
          <w:rFonts w:ascii="Century Gothic" w:hAnsi="Century Gothic" w:cs="Tahoma"/>
          <w:sz w:val="22"/>
          <w:szCs w:val="22"/>
          <w:u w:val="none"/>
        </w:rPr>
        <w:t xml:space="preserve"> </w:t>
      </w:r>
      <w:r w:rsidRPr="008728D3">
        <w:rPr>
          <w:rFonts w:ascii="Century Gothic" w:hAnsi="Century Gothic" w:cs="Tahoma"/>
          <w:sz w:val="22"/>
          <w:szCs w:val="22"/>
          <w:u w:val="none"/>
        </w:rPr>
        <w:t>S</w:t>
      </w:r>
      <w:r w:rsidR="002F3375">
        <w:rPr>
          <w:rFonts w:ascii="Century Gothic" w:hAnsi="Century Gothic" w:cs="Tahoma"/>
          <w:sz w:val="22"/>
          <w:szCs w:val="22"/>
          <w:u w:val="none"/>
        </w:rPr>
        <w:t xml:space="preserve"> </w:t>
      </w:r>
      <w:r w:rsidRPr="008728D3">
        <w:rPr>
          <w:rFonts w:ascii="Century Gothic" w:hAnsi="Century Gothic" w:cs="Tahoma"/>
          <w:sz w:val="22"/>
          <w:szCs w:val="22"/>
          <w:u w:val="none"/>
        </w:rPr>
        <w:t>U</w:t>
      </w:r>
      <w:r w:rsidR="002F3375">
        <w:rPr>
          <w:rFonts w:ascii="Century Gothic" w:hAnsi="Century Gothic" w:cs="Tahoma"/>
          <w:sz w:val="22"/>
          <w:szCs w:val="22"/>
          <w:u w:val="none"/>
        </w:rPr>
        <w:t xml:space="preserve"> </w:t>
      </w:r>
      <w:r w:rsidRPr="008728D3">
        <w:rPr>
          <w:rFonts w:ascii="Century Gothic" w:hAnsi="Century Gothic" w:cs="Tahoma"/>
          <w:sz w:val="22"/>
          <w:szCs w:val="22"/>
          <w:u w:val="none"/>
        </w:rPr>
        <w:t>E</w:t>
      </w:r>
      <w:r w:rsidR="002F3375">
        <w:rPr>
          <w:rFonts w:ascii="Century Gothic" w:hAnsi="Century Gothic" w:cs="Tahoma"/>
          <w:sz w:val="22"/>
          <w:szCs w:val="22"/>
          <w:u w:val="none"/>
        </w:rPr>
        <w:t xml:space="preserve"> </w:t>
      </w:r>
      <w:r w:rsidRPr="008728D3">
        <w:rPr>
          <w:rFonts w:ascii="Century Gothic" w:hAnsi="Century Gothic" w:cs="Tahoma"/>
          <w:sz w:val="22"/>
          <w:szCs w:val="22"/>
          <w:u w:val="none"/>
        </w:rPr>
        <w:t>L</w:t>
      </w:r>
      <w:r w:rsidR="002F3375">
        <w:rPr>
          <w:rFonts w:ascii="Century Gothic" w:hAnsi="Century Gothic" w:cs="Tahoma"/>
          <w:sz w:val="22"/>
          <w:szCs w:val="22"/>
          <w:u w:val="none"/>
        </w:rPr>
        <w:t xml:space="preserve"> </w:t>
      </w:r>
      <w:r w:rsidRPr="008728D3">
        <w:rPr>
          <w:rFonts w:ascii="Century Gothic" w:hAnsi="Century Gothic" w:cs="Tahoma"/>
          <w:sz w:val="22"/>
          <w:szCs w:val="22"/>
          <w:u w:val="none"/>
        </w:rPr>
        <w:t>V</w:t>
      </w:r>
      <w:r w:rsidR="002F3375">
        <w:rPr>
          <w:rFonts w:ascii="Century Gothic" w:hAnsi="Century Gothic" w:cs="Tahoma"/>
          <w:sz w:val="22"/>
          <w:szCs w:val="22"/>
          <w:u w:val="none"/>
        </w:rPr>
        <w:t xml:space="preserve"> </w:t>
      </w:r>
      <w:r w:rsidRPr="008728D3">
        <w:rPr>
          <w:rFonts w:ascii="Century Gothic" w:hAnsi="Century Gothic" w:cs="Tahoma"/>
          <w:sz w:val="22"/>
          <w:szCs w:val="22"/>
          <w:u w:val="none"/>
        </w:rPr>
        <w:t>E</w:t>
      </w:r>
      <w:r w:rsidR="002F3375">
        <w:rPr>
          <w:rFonts w:ascii="Century Gothic" w:hAnsi="Century Gothic" w:cs="Tahoma"/>
          <w:sz w:val="22"/>
          <w:szCs w:val="22"/>
          <w:u w:val="none"/>
        </w:rPr>
        <w:t xml:space="preserve"> N</w:t>
      </w:r>
      <w:r w:rsidRPr="008728D3">
        <w:rPr>
          <w:rFonts w:ascii="Century Gothic" w:hAnsi="Century Gothic" w:cs="Tahoma"/>
          <w:sz w:val="22"/>
          <w:szCs w:val="22"/>
          <w:u w:val="none"/>
        </w:rPr>
        <w:t>:</w:t>
      </w:r>
    </w:p>
    <w:p w:rsidR="00EB78D4" w:rsidRPr="008728D3" w:rsidRDefault="00EB78D4" w:rsidP="00812E31">
      <w:pPr>
        <w:spacing w:line="288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EB78D4" w:rsidRPr="008728D3" w:rsidRDefault="00EB78D4" w:rsidP="004440B0">
      <w:pPr>
        <w:spacing w:line="288" w:lineRule="auto"/>
        <w:jc w:val="both"/>
        <w:rPr>
          <w:rFonts w:ascii="Century Gothic" w:hAnsi="Century Gothic" w:cs="Tahoma"/>
          <w:sz w:val="22"/>
          <w:szCs w:val="22"/>
        </w:rPr>
      </w:pPr>
      <w:r w:rsidRPr="008728D3">
        <w:rPr>
          <w:rFonts w:ascii="Century Gothic" w:hAnsi="Century Gothic" w:cs="Tahoma"/>
          <w:b/>
          <w:bCs/>
          <w:sz w:val="22"/>
          <w:szCs w:val="22"/>
          <w:u w:val="single"/>
        </w:rPr>
        <w:t>Artículo 1</w:t>
      </w:r>
      <w:r w:rsidR="007B3759" w:rsidRPr="008728D3">
        <w:rPr>
          <w:rFonts w:ascii="Century Gothic" w:hAnsi="Century Gothic" w:cs="Tahoma"/>
          <w:b/>
          <w:bCs/>
          <w:sz w:val="22"/>
          <w:szCs w:val="22"/>
          <w:u w:val="single"/>
        </w:rPr>
        <w:t>º</w:t>
      </w:r>
      <w:r w:rsidRPr="008728D3">
        <w:rPr>
          <w:rFonts w:ascii="Century Gothic" w:hAnsi="Century Gothic" w:cs="Tahoma"/>
          <w:b/>
          <w:bCs/>
          <w:sz w:val="22"/>
          <w:szCs w:val="22"/>
          <w:u w:val="single"/>
        </w:rPr>
        <w:t>:</w:t>
      </w:r>
      <w:r w:rsidRPr="008728D3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="006064EE" w:rsidRPr="008728D3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="002F31AB" w:rsidRPr="00F57F36">
        <w:rPr>
          <w:rFonts w:ascii="Century Gothic" w:hAnsi="Century Gothic"/>
          <w:sz w:val="22"/>
          <w:szCs w:val="22"/>
        </w:rPr>
        <w:t xml:space="preserve">Aprobar </w:t>
      </w:r>
      <w:r w:rsidR="00F57F36" w:rsidRPr="00F57F36">
        <w:rPr>
          <w:rFonts w:ascii="Century Gothic" w:hAnsi="Century Gothic"/>
          <w:sz w:val="22"/>
          <w:szCs w:val="22"/>
        </w:rPr>
        <w:t xml:space="preserve">las </w:t>
      </w:r>
      <w:r w:rsidR="00F57F36" w:rsidRPr="00F57F36">
        <w:rPr>
          <w:rFonts w:ascii="Century Gothic" w:hAnsi="Century Gothic" w:cs="Tahoma"/>
          <w:sz w:val="22"/>
          <w:szCs w:val="22"/>
        </w:rPr>
        <w:t xml:space="preserve">pautas valorativas e interpretativas de los Criterios para la calificación de antecedentes ordenados en el Decreto N° 2664/18, obrantes en </w:t>
      </w:r>
      <w:r w:rsidR="002F31AB" w:rsidRPr="00F57F36">
        <w:rPr>
          <w:rFonts w:ascii="Century Gothic" w:hAnsi="Century Gothic"/>
          <w:sz w:val="22"/>
          <w:szCs w:val="22"/>
        </w:rPr>
        <w:t xml:space="preserve">el Anexo </w:t>
      </w:r>
      <w:r w:rsidR="00F57F36">
        <w:rPr>
          <w:rFonts w:ascii="Century Gothic" w:hAnsi="Century Gothic"/>
          <w:sz w:val="22"/>
          <w:szCs w:val="22"/>
        </w:rPr>
        <w:t xml:space="preserve">único, </w:t>
      </w:r>
      <w:r w:rsidR="002F31AB" w:rsidRPr="008728D3">
        <w:rPr>
          <w:rFonts w:ascii="Century Gothic" w:hAnsi="Century Gothic"/>
          <w:sz w:val="22"/>
          <w:szCs w:val="22"/>
        </w:rPr>
        <w:t>que forma parte de la presente Resolución.</w:t>
      </w:r>
      <w:r w:rsidR="002F3375">
        <w:rPr>
          <w:rFonts w:ascii="Century Gothic" w:hAnsi="Century Gothic"/>
          <w:sz w:val="22"/>
          <w:szCs w:val="22"/>
        </w:rPr>
        <w:t>-</w:t>
      </w:r>
    </w:p>
    <w:p w:rsidR="007A68EC" w:rsidRPr="008728D3" w:rsidRDefault="007A68EC" w:rsidP="00812E31">
      <w:pPr>
        <w:spacing w:line="288" w:lineRule="auto"/>
        <w:jc w:val="both"/>
        <w:rPr>
          <w:rFonts w:ascii="Century Gothic" w:hAnsi="Century Gothic" w:cs="Tahoma"/>
          <w:sz w:val="22"/>
          <w:szCs w:val="22"/>
        </w:rPr>
      </w:pPr>
    </w:p>
    <w:p w:rsidR="007A68EC" w:rsidRPr="008728D3" w:rsidRDefault="007A68EC" w:rsidP="00812E31">
      <w:pPr>
        <w:spacing w:line="288" w:lineRule="auto"/>
        <w:jc w:val="both"/>
        <w:rPr>
          <w:rFonts w:ascii="Century Gothic" w:hAnsi="Century Gothic" w:cs="Tahoma"/>
          <w:sz w:val="22"/>
          <w:szCs w:val="22"/>
        </w:rPr>
      </w:pPr>
      <w:r w:rsidRPr="008728D3">
        <w:rPr>
          <w:rFonts w:ascii="Century Gothic" w:hAnsi="Century Gothic" w:cs="Tahoma"/>
          <w:b/>
          <w:sz w:val="22"/>
          <w:szCs w:val="22"/>
          <w:u w:val="single"/>
        </w:rPr>
        <w:t xml:space="preserve">Artículo </w:t>
      </w:r>
      <w:r w:rsidR="006064EE" w:rsidRPr="008728D3">
        <w:rPr>
          <w:rFonts w:ascii="Century Gothic" w:hAnsi="Century Gothic" w:cs="Tahoma"/>
          <w:b/>
          <w:sz w:val="22"/>
          <w:szCs w:val="22"/>
          <w:u w:val="single"/>
        </w:rPr>
        <w:t>2</w:t>
      </w:r>
      <w:r w:rsidRPr="008728D3">
        <w:rPr>
          <w:rFonts w:ascii="Century Gothic" w:hAnsi="Century Gothic" w:cs="Tahoma"/>
          <w:b/>
          <w:sz w:val="22"/>
          <w:szCs w:val="22"/>
          <w:u w:val="single"/>
        </w:rPr>
        <w:t>º:</w:t>
      </w:r>
      <w:r w:rsidRPr="008728D3">
        <w:rPr>
          <w:rFonts w:ascii="Century Gothic" w:hAnsi="Century Gothic" w:cs="Tahoma"/>
          <w:sz w:val="22"/>
          <w:szCs w:val="22"/>
        </w:rPr>
        <w:t xml:space="preserve"> Comuníquese, publíquese y archívese</w:t>
      </w:r>
      <w:r w:rsidR="00DE5C08" w:rsidRPr="008728D3">
        <w:rPr>
          <w:rFonts w:ascii="Century Gothic" w:hAnsi="Century Gothic" w:cs="Tahoma"/>
          <w:sz w:val="22"/>
          <w:szCs w:val="22"/>
        </w:rPr>
        <w:t>.</w:t>
      </w:r>
      <w:r w:rsidR="002F3375">
        <w:rPr>
          <w:rFonts w:ascii="Century Gothic" w:hAnsi="Century Gothic" w:cs="Tahoma"/>
          <w:sz w:val="22"/>
          <w:szCs w:val="22"/>
        </w:rPr>
        <w:t>-</w:t>
      </w:r>
    </w:p>
    <w:p w:rsidR="002F31AB" w:rsidRPr="008728D3" w:rsidRDefault="002F31AB" w:rsidP="00812E31">
      <w:pPr>
        <w:spacing w:line="288" w:lineRule="auto"/>
        <w:jc w:val="both"/>
        <w:rPr>
          <w:rFonts w:ascii="Century Gothic" w:hAnsi="Century Gothic" w:cs="Tahoma"/>
          <w:sz w:val="22"/>
          <w:szCs w:val="22"/>
        </w:rPr>
      </w:pPr>
    </w:p>
    <w:p w:rsidR="002F31AB" w:rsidRPr="008728D3" w:rsidRDefault="002F31AB" w:rsidP="002F31AB">
      <w:pPr>
        <w:spacing w:line="288" w:lineRule="auto"/>
        <w:jc w:val="center"/>
        <w:rPr>
          <w:rFonts w:ascii="Century Gothic" w:hAnsi="Century Gothic" w:cs="Tahoma"/>
          <w:sz w:val="22"/>
          <w:szCs w:val="22"/>
        </w:rPr>
      </w:pPr>
      <w:r w:rsidRPr="008728D3">
        <w:rPr>
          <w:rFonts w:ascii="Century Gothic" w:hAnsi="Century Gothic" w:cs="Tahoma"/>
          <w:sz w:val="22"/>
          <w:szCs w:val="22"/>
        </w:rPr>
        <w:br w:type="page"/>
      </w:r>
    </w:p>
    <w:p w:rsidR="002F31AB" w:rsidRPr="008728D3" w:rsidRDefault="002F31AB" w:rsidP="002F31AB">
      <w:pPr>
        <w:spacing w:line="288" w:lineRule="auto"/>
        <w:jc w:val="center"/>
        <w:rPr>
          <w:rFonts w:ascii="Century Gothic" w:hAnsi="Century Gothic" w:cs="Tahoma"/>
          <w:sz w:val="22"/>
          <w:szCs w:val="22"/>
        </w:rPr>
      </w:pPr>
    </w:p>
    <w:p w:rsidR="002F31AB" w:rsidRPr="008728D3" w:rsidRDefault="002F31AB" w:rsidP="002F31AB">
      <w:pPr>
        <w:spacing w:line="288" w:lineRule="auto"/>
        <w:jc w:val="center"/>
        <w:rPr>
          <w:rFonts w:ascii="Century Gothic" w:hAnsi="Century Gothic" w:cs="Tahoma"/>
          <w:b/>
          <w:sz w:val="22"/>
          <w:szCs w:val="22"/>
          <w:u w:val="single"/>
        </w:rPr>
      </w:pPr>
      <w:r w:rsidRPr="008728D3">
        <w:rPr>
          <w:rFonts w:ascii="Century Gothic" w:hAnsi="Century Gothic" w:cs="Tahoma"/>
          <w:b/>
          <w:sz w:val="22"/>
          <w:szCs w:val="22"/>
          <w:u w:val="single"/>
        </w:rPr>
        <w:t>ANEXO</w:t>
      </w:r>
      <w:r w:rsidR="00B8138F">
        <w:rPr>
          <w:rFonts w:ascii="Century Gothic" w:hAnsi="Century Gothic" w:cs="Tahoma"/>
          <w:b/>
          <w:sz w:val="22"/>
          <w:szCs w:val="22"/>
          <w:u w:val="single"/>
        </w:rPr>
        <w:t xml:space="preserve"> ÚNICO</w:t>
      </w:r>
    </w:p>
    <w:p w:rsidR="002F31AB" w:rsidRPr="008728D3" w:rsidRDefault="002F31AB" w:rsidP="002F31AB">
      <w:pPr>
        <w:spacing w:line="288" w:lineRule="auto"/>
        <w:jc w:val="center"/>
        <w:rPr>
          <w:rFonts w:ascii="Century Gothic" w:hAnsi="Century Gothic" w:cs="Tahoma"/>
          <w:b/>
          <w:sz w:val="22"/>
          <w:szCs w:val="22"/>
          <w:u w:val="single"/>
        </w:rPr>
      </w:pPr>
    </w:p>
    <w:p w:rsidR="002F31AB" w:rsidRPr="008728D3" w:rsidRDefault="002F31AB" w:rsidP="002F31AB">
      <w:pPr>
        <w:spacing w:line="288" w:lineRule="auto"/>
        <w:jc w:val="center"/>
        <w:rPr>
          <w:rFonts w:ascii="Century Gothic" w:hAnsi="Century Gothic" w:cs="Tahoma"/>
          <w:b/>
          <w:sz w:val="22"/>
          <w:szCs w:val="22"/>
          <w:u w:val="single"/>
        </w:rPr>
      </w:pPr>
    </w:p>
    <w:p w:rsidR="002F31AB" w:rsidRPr="008728D3" w:rsidRDefault="002F31AB" w:rsidP="002F31AB">
      <w:pPr>
        <w:spacing w:line="288" w:lineRule="auto"/>
        <w:jc w:val="both"/>
        <w:rPr>
          <w:rFonts w:ascii="Century Gothic" w:hAnsi="Century Gothic" w:cs="Tahoma"/>
          <w:b/>
          <w:sz w:val="22"/>
          <w:szCs w:val="22"/>
        </w:rPr>
      </w:pPr>
      <w:r w:rsidRPr="008728D3">
        <w:rPr>
          <w:rFonts w:ascii="Century Gothic" w:hAnsi="Century Gothic" w:cs="Tahoma"/>
          <w:b/>
          <w:sz w:val="22"/>
          <w:szCs w:val="22"/>
        </w:rPr>
        <w:t>Pautas valorativas e interpretativas de los Criterios para la calificación de antecedentes ordenados en el Decreto N° 2664/18</w:t>
      </w:r>
    </w:p>
    <w:p w:rsidR="002F31AB" w:rsidRPr="008728D3" w:rsidRDefault="002F31AB">
      <w:pPr>
        <w:spacing w:line="288" w:lineRule="auto"/>
        <w:rPr>
          <w:rFonts w:ascii="Century Gothic" w:hAnsi="Century Gothic" w:cs="Tahoma"/>
          <w:sz w:val="22"/>
          <w:szCs w:val="22"/>
        </w:rPr>
      </w:pPr>
    </w:p>
    <w:p w:rsidR="00573703" w:rsidRPr="008728D3" w:rsidRDefault="00573703">
      <w:pPr>
        <w:spacing w:line="288" w:lineRule="auto"/>
        <w:rPr>
          <w:rFonts w:ascii="Century Gothic" w:hAnsi="Century Gothic" w:cs="Tahoma"/>
          <w:sz w:val="22"/>
          <w:szCs w:val="22"/>
        </w:rPr>
      </w:pPr>
    </w:p>
    <w:p w:rsidR="00573703" w:rsidRPr="008728D3" w:rsidRDefault="00B8138F">
      <w:pPr>
        <w:spacing w:line="288" w:lineRule="auto"/>
        <w:rPr>
          <w:rFonts w:ascii="Century Gothic" w:hAnsi="Century Gothic" w:cs="Tahoma"/>
          <w:sz w:val="22"/>
          <w:szCs w:val="22"/>
          <w:u w:val="single"/>
        </w:rPr>
      </w:pPr>
      <w:r w:rsidRPr="00B8138F">
        <w:rPr>
          <w:rFonts w:ascii="Century Gothic" w:hAnsi="Century Gothic" w:cs="Tahoma"/>
          <w:sz w:val="22"/>
          <w:szCs w:val="22"/>
        </w:rPr>
        <w:t xml:space="preserve">1) </w:t>
      </w:r>
      <w:r w:rsidR="00573703" w:rsidRPr="008728D3">
        <w:rPr>
          <w:rFonts w:ascii="Century Gothic" w:hAnsi="Century Gothic" w:cs="Tahoma"/>
          <w:sz w:val="22"/>
          <w:szCs w:val="22"/>
          <w:u w:val="single"/>
        </w:rPr>
        <w:t>RUBRO ANTIGÜEDAD</w:t>
      </w:r>
    </w:p>
    <w:p w:rsidR="00573703" w:rsidRPr="008728D3" w:rsidRDefault="00573703">
      <w:pPr>
        <w:spacing w:line="288" w:lineRule="auto"/>
        <w:rPr>
          <w:rFonts w:ascii="Century Gothic" w:hAnsi="Century Gothic" w:cs="Tahoma"/>
          <w:sz w:val="22"/>
          <w:szCs w:val="22"/>
        </w:rPr>
      </w:pPr>
    </w:p>
    <w:p w:rsidR="00573703" w:rsidRPr="008728D3" w:rsidRDefault="00573703" w:rsidP="00710C03">
      <w:pPr>
        <w:spacing w:line="288" w:lineRule="auto"/>
        <w:jc w:val="both"/>
        <w:rPr>
          <w:rFonts w:ascii="Century Gothic" w:hAnsi="Century Gothic" w:cs="Tahoma"/>
          <w:sz w:val="22"/>
          <w:szCs w:val="22"/>
        </w:rPr>
      </w:pPr>
      <w:r w:rsidRPr="008728D3">
        <w:rPr>
          <w:rFonts w:ascii="Century Gothic" w:hAnsi="Century Gothic" w:cs="Tahoma"/>
          <w:sz w:val="22"/>
          <w:szCs w:val="22"/>
        </w:rPr>
        <w:t xml:space="preserve">El puntaje máximo a asignar, conforme </w:t>
      </w:r>
      <w:r w:rsidR="00AE2511" w:rsidRPr="008728D3">
        <w:rPr>
          <w:rFonts w:ascii="Century Gothic" w:hAnsi="Century Gothic" w:cs="Tahoma"/>
          <w:sz w:val="22"/>
          <w:szCs w:val="22"/>
        </w:rPr>
        <w:t>se establece en el</w:t>
      </w:r>
      <w:r w:rsidRPr="008728D3">
        <w:rPr>
          <w:rFonts w:ascii="Century Gothic" w:hAnsi="Century Gothic" w:cs="Tahoma"/>
          <w:sz w:val="22"/>
          <w:szCs w:val="22"/>
        </w:rPr>
        <w:t xml:space="preserve"> reseñado Decreto, es de QUINCE (15) puntos</w:t>
      </w:r>
      <w:r w:rsidR="00FF60CD">
        <w:rPr>
          <w:rFonts w:ascii="Century Gothic" w:hAnsi="Century Gothic" w:cs="Tahoma"/>
          <w:sz w:val="22"/>
          <w:szCs w:val="22"/>
        </w:rPr>
        <w:t>, a razón de</w:t>
      </w:r>
      <w:r w:rsidR="00FF60CD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UN</w:t>
      </w:r>
      <w:r w:rsidR="00FF60CD" w:rsidRPr="008728D3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(1) punto por cada año</w:t>
      </w:r>
      <w:r w:rsidR="00FF60CD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de desempeño.</w:t>
      </w:r>
    </w:p>
    <w:p w:rsidR="00A43BE0" w:rsidRPr="008728D3" w:rsidRDefault="00573703" w:rsidP="00710C03">
      <w:pPr>
        <w:spacing w:line="288" w:lineRule="auto"/>
        <w:jc w:val="both"/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8728D3">
        <w:rPr>
          <w:rFonts w:ascii="Century Gothic" w:hAnsi="Century Gothic" w:cs="Arial"/>
          <w:sz w:val="22"/>
          <w:szCs w:val="22"/>
          <w:shd w:val="clear" w:color="auto" w:fill="FFFFFF"/>
        </w:rPr>
        <w:t>Dicho puntaje se calcula por año o fracción mayor a 6</w:t>
      </w:r>
      <w:r w:rsidR="001C591C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(seis) meses, tanto en</w:t>
      </w:r>
      <w:r w:rsidR="00FF60CD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el ejercicio libre de la</w:t>
      </w:r>
      <w:r w:rsidRPr="008728D3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profesi</w:t>
      </w:r>
      <w:r w:rsidR="00FF60CD">
        <w:rPr>
          <w:rFonts w:ascii="Century Gothic" w:hAnsi="Century Gothic" w:cs="Arial"/>
          <w:sz w:val="22"/>
          <w:szCs w:val="22"/>
          <w:shd w:val="clear" w:color="auto" w:fill="FFFFFF"/>
        </w:rPr>
        <w:t>ón</w:t>
      </w:r>
      <w:r w:rsidRPr="008728D3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como en funciones públicas </w:t>
      </w:r>
      <w:r w:rsidR="003F5A85">
        <w:rPr>
          <w:rFonts w:ascii="Century Gothic" w:hAnsi="Century Gothic" w:cs="Arial"/>
          <w:sz w:val="22"/>
          <w:szCs w:val="22"/>
          <w:shd w:val="clear" w:color="auto" w:fill="FFFFFF"/>
        </w:rPr>
        <w:t>que requieran el título exigido para el cargo a concursar. En aquellos casos en que el/la postulante acredite desempeño en funciones públicas</w:t>
      </w:r>
      <w:r w:rsidR="00FF60CD">
        <w:rPr>
          <w:rFonts w:ascii="Century Gothic" w:hAnsi="Century Gothic" w:cs="Arial"/>
          <w:sz w:val="22"/>
          <w:szCs w:val="22"/>
          <w:shd w:val="clear" w:color="auto" w:fill="FFFFFF"/>
        </w:rPr>
        <w:t>,</w:t>
      </w:r>
      <w:r w:rsidR="003F5A85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manteniendo activa la matrícula profesional, se computará como un sólo </w:t>
      </w:r>
      <w:r w:rsidR="00FF60CD">
        <w:rPr>
          <w:rFonts w:ascii="Century Gothic" w:hAnsi="Century Gothic" w:cs="Arial"/>
          <w:sz w:val="22"/>
          <w:szCs w:val="22"/>
          <w:shd w:val="clear" w:color="auto" w:fill="FFFFFF"/>
        </w:rPr>
        <w:t>lapso a los efectos de la calificación de este rubro</w:t>
      </w:r>
      <w:r w:rsidRPr="008728D3">
        <w:rPr>
          <w:rFonts w:ascii="Century Gothic" w:hAnsi="Century Gothic" w:cs="Arial"/>
          <w:sz w:val="22"/>
          <w:szCs w:val="22"/>
          <w:shd w:val="clear" w:color="auto" w:fill="FFFFFF"/>
        </w:rPr>
        <w:t>.</w:t>
      </w:r>
      <w:r w:rsidR="00710C03" w:rsidRPr="008728D3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</w:t>
      </w:r>
      <w:r w:rsidR="008728D3">
        <w:rPr>
          <w:rFonts w:ascii="Century Gothic" w:hAnsi="Century Gothic" w:cs="Arial"/>
          <w:sz w:val="22"/>
          <w:szCs w:val="22"/>
          <w:shd w:val="clear" w:color="auto" w:fill="FFFFFF"/>
        </w:rPr>
        <w:t>Para</w:t>
      </w:r>
      <w:r w:rsidR="00710C03" w:rsidRPr="008728D3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aquellos postulantes que acrediten desempeño en tales funciones </w:t>
      </w:r>
      <w:r w:rsidR="00C73A6A">
        <w:rPr>
          <w:rFonts w:ascii="Century Gothic" w:hAnsi="Century Gothic" w:cs="Arial"/>
          <w:sz w:val="22"/>
          <w:szCs w:val="22"/>
          <w:shd w:val="clear" w:color="auto" w:fill="FFFFFF"/>
        </w:rPr>
        <w:t>sin matricula activa,</w:t>
      </w:r>
      <w:r w:rsidR="00710C03" w:rsidRPr="008728D3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se tendrá en cuenta como fecha de inicio del cómputo de la antigüedad, la </w:t>
      </w:r>
      <w:r w:rsidR="00FF60CD">
        <w:rPr>
          <w:rFonts w:ascii="Century Gothic" w:hAnsi="Century Gothic" w:cs="Arial"/>
          <w:sz w:val="22"/>
          <w:szCs w:val="22"/>
          <w:shd w:val="clear" w:color="auto" w:fill="FFFFFF"/>
        </w:rPr>
        <w:t>de designación en las mismas</w:t>
      </w:r>
      <w:r w:rsidR="00710C03" w:rsidRPr="008728D3">
        <w:rPr>
          <w:rFonts w:ascii="Century Gothic" w:hAnsi="Century Gothic" w:cs="Arial"/>
          <w:sz w:val="22"/>
          <w:szCs w:val="22"/>
          <w:shd w:val="clear" w:color="auto" w:fill="FFFFFF"/>
        </w:rPr>
        <w:t>.</w:t>
      </w:r>
      <w:r w:rsidR="00FF60CD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</w:t>
      </w:r>
    </w:p>
    <w:p w:rsidR="00AE2511" w:rsidRPr="008728D3" w:rsidRDefault="00AE2511" w:rsidP="00AE2511">
      <w:pPr>
        <w:pStyle w:val="Textbody"/>
        <w:rPr>
          <w:rFonts w:ascii="Century Gothic" w:hAnsi="Century Gothic"/>
          <w:sz w:val="22"/>
          <w:szCs w:val="22"/>
        </w:rPr>
      </w:pPr>
    </w:p>
    <w:p w:rsidR="00AE2511" w:rsidRPr="008728D3" w:rsidRDefault="00AE2511" w:rsidP="00AE2511">
      <w:pPr>
        <w:pStyle w:val="Textbody"/>
        <w:rPr>
          <w:rFonts w:ascii="Century Gothic" w:hAnsi="Century Gothic"/>
          <w:sz w:val="22"/>
          <w:szCs w:val="22"/>
        </w:rPr>
      </w:pPr>
    </w:p>
    <w:p w:rsidR="00AE2511" w:rsidRPr="008728D3" w:rsidRDefault="00B8138F" w:rsidP="00AE2511">
      <w:pPr>
        <w:pStyle w:val="Textbody"/>
        <w:rPr>
          <w:rFonts w:ascii="Century Gothic" w:hAnsi="Century Gothic"/>
          <w:sz w:val="22"/>
          <w:szCs w:val="22"/>
          <w:u w:val="single"/>
        </w:rPr>
      </w:pPr>
      <w:r w:rsidRPr="00B8138F">
        <w:rPr>
          <w:rFonts w:ascii="Century Gothic" w:hAnsi="Century Gothic"/>
          <w:sz w:val="22"/>
          <w:szCs w:val="22"/>
        </w:rPr>
        <w:t xml:space="preserve">2) </w:t>
      </w:r>
      <w:r w:rsidR="00AE2511" w:rsidRPr="008728D3">
        <w:rPr>
          <w:rFonts w:ascii="Century Gothic" w:hAnsi="Century Gothic"/>
          <w:sz w:val="22"/>
          <w:szCs w:val="22"/>
          <w:u w:val="single"/>
        </w:rPr>
        <w:t>RUBRO ESPECIALIDAD</w:t>
      </w:r>
    </w:p>
    <w:p w:rsidR="00AE2511" w:rsidRPr="008728D3" w:rsidRDefault="00AE2511" w:rsidP="00AE2511">
      <w:pPr>
        <w:pStyle w:val="Textbody"/>
        <w:rPr>
          <w:rFonts w:ascii="Century Gothic" w:hAnsi="Century Gothic"/>
          <w:sz w:val="22"/>
          <w:szCs w:val="22"/>
        </w:rPr>
      </w:pPr>
    </w:p>
    <w:p w:rsidR="00C73A6A" w:rsidRDefault="007E25E1" w:rsidP="008728D3">
      <w:pPr>
        <w:pStyle w:val="Textbody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</w:t>
      </w:r>
      <w:r w:rsidR="00A43BE0" w:rsidRPr="008728D3">
        <w:rPr>
          <w:rFonts w:ascii="Century Gothic" w:hAnsi="Century Gothic"/>
          <w:sz w:val="22"/>
          <w:szCs w:val="22"/>
        </w:rPr>
        <w:t>n lo que respecta a este rubro,</w:t>
      </w:r>
      <w:r w:rsidR="00710C03" w:rsidRPr="008728D3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se aclara</w:t>
      </w:r>
      <w:r w:rsidR="00AE2511" w:rsidRPr="008728D3">
        <w:rPr>
          <w:rFonts w:ascii="Century Gothic" w:hAnsi="Century Gothic"/>
          <w:sz w:val="22"/>
          <w:szCs w:val="22"/>
        </w:rPr>
        <w:t xml:space="preserve"> que la calificación a asignar</w:t>
      </w:r>
      <w:r w:rsidR="008C3948">
        <w:rPr>
          <w:rFonts w:ascii="Century Gothic" w:hAnsi="Century Gothic"/>
          <w:sz w:val="22"/>
          <w:szCs w:val="22"/>
        </w:rPr>
        <w:t xml:space="preserve"> -que va de CERO (0) a OCHO (8) puntos-</w:t>
      </w:r>
      <w:r w:rsidR="00AE2511" w:rsidRPr="008728D3">
        <w:rPr>
          <w:rFonts w:ascii="Century Gothic" w:hAnsi="Century Gothic"/>
          <w:sz w:val="22"/>
          <w:szCs w:val="22"/>
        </w:rPr>
        <w:t xml:space="preserve"> será </w:t>
      </w:r>
      <w:r w:rsidR="00C73A6A">
        <w:rPr>
          <w:rFonts w:ascii="Century Gothic" w:hAnsi="Century Gothic"/>
          <w:sz w:val="22"/>
          <w:szCs w:val="22"/>
        </w:rPr>
        <w:t>adjudicada</w:t>
      </w:r>
      <w:r w:rsidR="00EB38AA">
        <w:rPr>
          <w:rFonts w:ascii="Century Gothic" w:hAnsi="Century Gothic"/>
          <w:sz w:val="22"/>
          <w:szCs w:val="22"/>
        </w:rPr>
        <w:t xml:space="preserve"> considerando tres ejes</w:t>
      </w:r>
      <w:r w:rsidR="00C73A6A">
        <w:rPr>
          <w:rFonts w:ascii="Century Gothic" w:hAnsi="Century Gothic"/>
          <w:sz w:val="22"/>
          <w:szCs w:val="22"/>
        </w:rPr>
        <w:t xml:space="preserve">: </w:t>
      </w:r>
    </w:p>
    <w:p w:rsidR="00C73A6A" w:rsidRDefault="00C73A6A" w:rsidP="00C73A6A">
      <w:pPr>
        <w:pStyle w:val="Textbody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hint="eastAsia"/>
          <w:sz w:val="22"/>
          <w:szCs w:val="22"/>
        </w:rPr>
        <w:t>A</w:t>
      </w:r>
      <w:r>
        <w:rPr>
          <w:rFonts w:ascii="Century Gothic" w:hAnsi="Century Gothic"/>
          <w:sz w:val="22"/>
          <w:szCs w:val="22"/>
        </w:rPr>
        <w:t xml:space="preserve">finidad </w:t>
      </w:r>
      <w:r w:rsidR="00EB38AA">
        <w:rPr>
          <w:rFonts w:ascii="Century Gothic" w:hAnsi="Century Gothic"/>
          <w:sz w:val="22"/>
          <w:szCs w:val="22"/>
        </w:rPr>
        <w:t>de los desempeños</w:t>
      </w:r>
      <w:r>
        <w:rPr>
          <w:rFonts w:ascii="Century Gothic" w:hAnsi="Century Gothic"/>
          <w:sz w:val="22"/>
          <w:szCs w:val="22"/>
        </w:rPr>
        <w:t xml:space="preserve"> con el cargo a concursar</w:t>
      </w:r>
    </w:p>
    <w:p w:rsidR="00C73A6A" w:rsidRDefault="00C73A6A" w:rsidP="00C73A6A">
      <w:pPr>
        <w:pStyle w:val="Textbody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Relevancia </w:t>
      </w:r>
      <w:r w:rsidR="00EB38AA">
        <w:rPr>
          <w:rFonts w:ascii="Century Gothic" w:hAnsi="Century Gothic"/>
          <w:sz w:val="22"/>
          <w:szCs w:val="22"/>
        </w:rPr>
        <w:t>de las funciones y/o desempeños desarrollados</w:t>
      </w:r>
    </w:p>
    <w:p w:rsidR="00EB38AA" w:rsidRDefault="00EB38AA" w:rsidP="00EB38AA">
      <w:pPr>
        <w:pStyle w:val="Textbody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Antigüedad acreditada </w:t>
      </w:r>
    </w:p>
    <w:p w:rsidR="00AE2511" w:rsidRPr="008728D3" w:rsidRDefault="00AE2511" w:rsidP="00AE2511">
      <w:pPr>
        <w:pStyle w:val="Textbody"/>
        <w:rPr>
          <w:rFonts w:ascii="Century Gothic" w:hAnsi="Century Gothic"/>
          <w:sz w:val="22"/>
          <w:szCs w:val="22"/>
        </w:rPr>
      </w:pPr>
      <w:r w:rsidRPr="008728D3">
        <w:rPr>
          <w:rFonts w:ascii="Century Gothic" w:hAnsi="Century Gothic"/>
          <w:sz w:val="22"/>
          <w:szCs w:val="22"/>
        </w:rPr>
        <w:t> </w:t>
      </w:r>
    </w:p>
    <w:p w:rsidR="00490993" w:rsidRPr="008728D3" w:rsidRDefault="00490993" w:rsidP="00710C03">
      <w:pPr>
        <w:pStyle w:val="Textbody"/>
        <w:rPr>
          <w:rFonts w:ascii="Century Gothic" w:hAnsi="Century Gothic"/>
          <w:sz w:val="22"/>
          <w:szCs w:val="22"/>
          <w:u w:val="single"/>
        </w:rPr>
      </w:pPr>
    </w:p>
    <w:p w:rsidR="00710C03" w:rsidRPr="008728D3" w:rsidRDefault="00B8138F" w:rsidP="00710C03">
      <w:pPr>
        <w:pStyle w:val="Textbody"/>
        <w:rPr>
          <w:rFonts w:ascii="Century Gothic" w:hAnsi="Century Gothic"/>
          <w:sz w:val="22"/>
          <w:szCs w:val="22"/>
          <w:u w:val="single"/>
        </w:rPr>
      </w:pPr>
      <w:r w:rsidRPr="00B8138F">
        <w:rPr>
          <w:rFonts w:ascii="Century Gothic" w:hAnsi="Century Gothic"/>
          <w:sz w:val="22"/>
          <w:szCs w:val="22"/>
        </w:rPr>
        <w:t xml:space="preserve">3) </w:t>
      </w:r>
      <w:r w:rsidR="00710C03" w:rsidRPr="008728D3">
        <w:rPr>
          <w:rFonts w:ascii="Century Gothic" w:hAnsi="Century Gothic"/>
          <w:sz w:val="22"/>
          <w:szCs w:val="22"/>
          <w:u w:val="single"/>
        </w:rPr>
        <w:t>RUBRO ANTECEDENTES ACADÉMICOS</w:t>
      </w:r>
    </w:p>
    <w:p w:rsidR="00710C03" w:rsidRPr="008728D3" w:rsidRDefault="00710C03" w:rsidP="00710C03">
      <w:pPr>
        <w:pStyle w:val="Textbody"/>
        <w:rPr>
          <w:rFonts w:ascii="Century Gothic" w:hAnsi="Century Gothic"/>
          <w:sz w:val="22"/>
          <w:szCs w:val="22"/>
          <w:u w:val="single"/>
        </w:rPr>
      </w:pPr>
    </w:p>
    <w:p w:rsidR="00710C03" w:rsidRPr="008728D3" w:rsidRDefault="00B8138F" w:rsidP="00490993">
      <w:pPr>
        <w:pStyle w:val="Prrafodelista"/>
        <w:ind w:left="360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>A</w:t>
      </w:r>
      <w:r w:rsidR="00710C03" w:rsidRPr="008728D3">
        <w:rPr>
          <w:rFonts w:ascii="Century Gothic" w:hAnsi="Century Gothic"/>
        </w:rPr>
        <w:t xml:space="preserve">.- </w:t>
      </w:r>
      <w:r w:rsidR="00710C03" w:rsidRPr="008728D3">
        <w:rPr>
          <w:rFonts w:ascii="Century Gothic" w:hAnsi="Century Gothic" w:cs="Calibri"/>
        </w:rPr>
        <w:t>DOCTORADOS, MAESTR</w:t>
      </w:r>
      <w:r w:rsidR="00490993" w:rsidRPr="008728D3">
        <w:rPr>
          <w:rFonts w:ascii="Century Gothic" w:hAnsi="Century Gothic" w:cs="Calibri"/>
        </w:rPr>
        <w:t>IAS Y CARRERAS DE ESPECIALIZACIÓ</w:t>
      </w:r>
      <w:r w:rsidR="00710C03" w:rsidRPr="008728D3">
        <w:rPr>
          <w:rFonts w:ascii="Century Gothic" w:hAnsi="Century Gothic" w:cs="Calibri"/>
        </w:rPr>
        <w:t>N</w:t>
      </w:r>
    </w:p>
    <w:p w:rsidR="00710C03" w:rsidRDefault="00710C03" w:rsidP="00710C03">
      <w:pPr>
        <w:pStyle w:val="Textbody"/>
        <w:jc w:val="both"/>
        <w:rPr>
          <w:rFonts w:ascii="Century Gothic" w:hAnsi="Century Gothic"/>
          <w:sz w:val="22"/>
          <w:szCs w:val="22"/>
        </w:rPr>
      </w:pPr>
      <w:r w:rsidRPr="008728D3">
        <w:rPr>
          <w:rFonts w:ascii="Century Gothic" w:hAnsi="Century Gothic"/>
          <w:sz w:val="22"/>
          <w:szCs w:val="22"/>
        </w:rPr>
        <w:lastRenderedPageBreak/>
        <w:t xml:space="preserve">El puntaje </w:t>
      </w:r>
      <w:r w:rsidR="00490993" w:rsidRPr="008728D3">
        <w:rPr>
          <w:rFonts w:ascii="Century Gothic" w:hAnsi="Century Gothic"/>
          <w:sz w:val="22"/>
          <w:szCs w:val="22"/>
        </w:rPr>
        <w:t xml:space="preserve">que se consigne </w:t>
      </w:r>
      <w:r w:rsidRPr="008728D3">
        <w:rPr>
          <w:rFonts w:ascii="Century Gothic" w:hAnsi="Century Gothic"/>
          <w:sz w:val="22"/>
          <w:szCs w:val="22"/>
        </w:rPr>
        <w:t xml:space="preserve">se reducirá en un 25% en el caso de que </w:t>
      </w:r>
      <w:r w:rsidR="00490993" w:rsidRPr="008728D3">
        <w:rPr>
          <w:rFonts w:ascii="Century Gothic" w:hAnsi="Century Gothic"/>
          <w:sz w:val="22"/>
          <w:szCs w:val="22"/>
        </w:rPr>
        <w:t>la carrera no se encuentre acreditada</w:t>
      </w:r>
      <w:r w:rsidRPr="008728D3">
        <w:rPr>
          <w:rFonts w:ascii="Century Gothic" w:hAnsi="Century Gothic"/>
          <w:sz w:val="22"/>
          <w:szCs w:val="22"/>
        </w:rPr>
        <w:t xml:space="preserve"> por la CONEAU a la fecha de finalización del cursado de los estudios respectivos. </w:t>
      </w:r>
      <w:r w:rsidR="008728D3">
        <w:rPr>
          <w:rFonts w:ascii="Century Gothic" w:hAnsi="Century Gothic"/>
          <w:sz w:val="22"/>
          <w:szCs w:val="22"/>
        </w:rPr>
        <w:t xml:space="preserve">Por otra parte, </w:t>
      </w:r>
      <w:r w:rsidR="00B43335">
        <w:rPr>
          <w:rFonts w:ascii="Century Gothic" w:hAnsi="Century Gothic"/>
          <w:sz w:val="22"/>
          <w:szCs w:val="22"/>
        </w:rPr>
        <w:t xml:space="preserve">se aclara que aquellas carreras afines que no hayan sido incluidas en el Anexo II del Decreto (III. ANTECEDENTES ACADÉMICOS - punto 1), se clasificarán </w:t>
      </w:r>
      <w:r w:rsidR="001C591C">
        <w:rPr>
          <w:rFonts w:ascii="Century Gothic" w:hAnsi="Century Gothic"/>
          <w:sz w:val="22"/>
          <w:szCs w:val="22"/>
        </w:rPr>
        <w:t xml:space="preserve">conforme el criterio que aquí se establece </w:t>
      </w:r>
      <w:r w:rsidR="00B43335">
        <w:rPr>
          <w:rFonts w:ascii="Century Gothic" w:hAnsi="Century Gothic"/>
          <w:sz w:val="22"/>
          <w:szCs w:val="22"/>
        </w:rPr>
        <w:t xml:space="preserve">en el </w:t>
      </w:r>
      <w:r w:rsidR="00B8138F">
        <w:rPr>
          <w:rFonts w:ascii="Century Gothic" w:hAnsi="Century Gothic"/>
          <w:sz w:val="22"/>
          <w:szCs w:val="22"/>
        </w:rPr>
        <w:t xml:space="preserve">inciso C, </w:t>
      </w:r>
      <w:r w:rsidR="00B43335">
        <w:rPr>
          <w:rFonts w:ascii="Century Gothic" w:hAnsi="Century Gothic"/>
          <w:sz w:val="22"/>
          <w:szCs w:val="22"/>
        </w:rPr>
        <w:t>“OTROS ESTUDIOS”.</w:t>
      </w:r>
    </w:p>
    <w:p w:rsidR="00C73A6A" w:rsidRDefault="00C73A6A" w:rsidP="00710C03">
      <w:pPr>
        <w:pStyle w:val="Textbody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Conforme lo ordena el Decreto 2664/18, los puntajes que se asignan a cada carrera de posgrado, son los siguientes:</w:t>
      </w:r>
    </w:p>
    <w:p w:rsidR="00C73A6A" w:rsidRDefault="00C73A6A" w:rsidP="00C73A6A">
      <w:pPr>
        <w:pStyle w:val="Textbody"/>
        <w:numPr>
          <w:ilvl w:val="0"/>
          <w:numId w:val="6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Doctorados: 4 pts.</w:t>
      </w:r>
    </w:p>
    <w:p w:rsidR="00C73A6A" w:rsidRDefault="00C73A6A" w:rsidP="00C73A6A">
      <w:pPr>
        <w:pStyle w:val="Textbody"/>
        <w:numPr>
          <w:ilvl w:val="0"/>
          <w:numId w:val="6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Maestrías: 3 pts.</w:t>
      </w:r>
    </w:p>
    <w:p w:rsidR="00C73A6A" w:rsidRPr="008728D3" w:rsidRDefault="00C73A6A" w:rsidP="00C73A6A">
      <w:pPr>
        <w:pStyle w:val="Textbody"/>
        <w:numPr>
          <w:ilvl w:val="0"/>
          <w:numId w:val="6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Especializaciones: 2 pts.</w:t>
      </w:r>
    </w:p>
    <w:p w:rsidR="007A6DF1" w:rsidRPr="008728D3" w:rsidRDefault="007A6DF1" w:rsidP="00710C03">
      <w:pPr>
        <w:pStyle w:val="Textbody"/>
        <w:jc w:val="both"/>
        <w:rPr>
          <w:rFonts w:ascii="Century Gothic" w:hAnsi="Century Gothic"/>
          <w:sz w:val="22"/>
          <w:szCs w:val="22"/>
        </w:rPr>
      </w:pPr>
    </w:p>
    <w:p w:rsidR="007A6DF1" w:rsidRPr="008728D3" w:rsidRDefault="007A6DF1" w:rsidP="007A6DF1">
      <w:pPr>
        <w:pStyle w:val="NormalWeb"/>
        <w:spacing w:before="0" w:beforeAutospacing="0" w:after="0" w:afterAutospacing="0"/>
        <w:ind w:right="2510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8728D3">
        <w:rPr>
          <w:rFonts w:ascii="Century Gothic" w:hAnsi="Century Gothic" w:cs="Calibri"/>
          <w:color w:val="000000"/>
          <w:sz w:val="22"/>
          <w:szCs w:val="22"/>
        </w:rPr>
        <w:t xml:space="preserve">     </w:t>
      </w:r>
      <w:r w:rsidR="00B8138F">
        <w:rPr>
          <w:rFonts w:ascii="Century Gothic" w:hAnsi="Century Gothic" w:cs="Calibri"/>
          <w:color w:val="000000"/>
          <w:sz w:val="22"/>
          <w:szCs w:val="22"/>
        </w:rPr>
        <w:t>B</w:t>
      </w:r>
      <w:r w:rsidRPr="008728D3">
        <w:rPr>
          <w:rFonts w:ascii="Century Gothic" w:hAnsi="Century Gothic" w:cs="Calibri"/>
          <w:color w:val="000000"/>
          <w:sz w:val="22"/>
          <w:szCs w:val="22"/>
        </w:rPr>
        <w:t xml:space="preserve">.- ASISTENCIA A EVENTOS CIENTÍFICOS </w:t>
      </w:r>
    </w:p>
    <w:p w:rsidR="007A6DF1" w:rsidRPr="008728D3" w:rsidRDefault="007A6DF1" w:rsidP="007A6DF1">
      <w:pPr>
        <w:pStyle w:val="NormalWeb"/>
        <w:spacing w:before="0" w:beforeAutospacing="0" w:after="0" w:afterAutospacing="0"/>
        <w:ind w:right="2510"/>
        <w:jc w:val="both"/>
        <w:rPr>
          <w:rFonts w:ascii="Century Gothic" w:hAnsi="Century Gothic" w:cs="Calibri"/>
          <w:color w:val="000000"/>
          <w:sz w:val="22"/>
          <w:szCs w:val="22"/>
        </w:rPr>
      </w:pPr>
    </w:p>
    <w:p w:rsidR="007A6DF1" w:rsidRPr="008728D3" w:rsidRDefault="007A6DF1" w:rsidP="007A6DF1">
      <w:pPr>
        <w:pStyle w:val="NormalWeb"/>
        <w:tabs>
          <w:tab w:val="left" w:pos="9072"/>
        </w:tabs>
        <w:spacing w:before="0" w:beforeAutospacing="0" w:after="0" w:afterAutospacing="0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8728D3">
        <w:rPr>
          <w:rFonts w:ascii="Century Gothic" w:hAnsi="Century Gothic" w:cs="Calibri"/>
          <w:color w:val="000000"/>
          <w:sz w:val="22"/>
          <w:szCs w:val="22"/>
        </w:rPr>
        <w:t>Para logar la obtención del puntaje adjudi</w:t>
      </w:r>
      <w:r w:rsidR="00A43BE0" w:rsidRPr="008728D3">
        <w:rPr>
          <w:rFonts w:ascii="Century Gothic" w:hAnsi="Century Gothic" w:cs="Calibri"/>
          <w:color w:val="000000"/>
          <w:sz w:val="22"/>
          <w:szCs w:val="22"/>
        </w:rPr>
        <w:t xml:space="preserve">cado en este ítem (0,50 pts.) </w:t>
      </w:r>
      <w:r w:rsidRPr="008728D3">
        <w:rPr>
          <w:rFonts w:ascii="Century Gothic" w:hAnsi="Century Gothic" w:cs="Calibri"/>
          <w:color w:val="000000"/>
          <w:sz w:val="22"/>
          <w:szCs w:val="22"/>
        </w:rPr>
        <w:t>los postulantes que hayan participado en calidad de asistentes, deberá</w:t>
      </w:r>
      <w:r w:rsidR="00A43BE0" w:rsidRPr="008728D3">
        <w:rPr>
          <w:rFonts w:ascii="Century Gothic" w:hAnsi="Century Gothic" w:cs="Calibri"/>
          <w:color w:val="000000"/>
          <w:sz w:val="22"/>
          <w:szCs w:val="22"/>
        </w:rPr>
        <w:t>n acreditar</w:t>
      </w:r>
      <w:r w:rsidR="00B43335">
        <w:rPr>
          <w:rFonts w:ascii="Century Gothic" w:hAnsi="Century Gothic" w:cs="Calibri"/>
          <w:color w:val="000000"/>
          <w:sz w:val="22"/>
          <w:szCs w:val="22"/>
        </w:rPr>
        <w:t xml:space="preserve"> un mínimo de </w:t>
      </w:r>
      <w:r w:rsidR="00841EDC">
        <w:rPr>
          <w:rFonts w:ascii="Century Gothic" w:hAnsi="Century Gothic" w:cs="Calibri"/>
          <w:color w:val="000000"/>
          <w:sz w:val="22"/>
          <w:szCs w:val="22"/>
        </w:rPr>
        <w:t>20</w:t>
      </w:r>
      <w:r w:rsidRPr="008728D3">
        <w:rPr>
          <w:rFonts w:ascii="Century Gothic" w:hAnsi="Century Gothic" w:cs="Calibri"/>
          <w:color w:val="000000"/>
          <w:sz w:val="22"/>
          <w:szCs w:val="22"/>
        </w:rPr>
        <w:t xml:space="preserve"> eventos científicos</w:t>
      </w:r>
      <w:r w:rsidR="008C3948">
        <w:rPr>
          <w:rFonts w:ascii="Century Gothic" w:hAnsi="Century Gothic" w:cs="Calibri"/>
          <w:color w:val="000000"/>
          <w:sz w:val="22"/>
          <w:szCs w:val="22"/>
        </w:rPr>
        <w:t>,</w:t>
      </w:r>
      <w:r w:rsidRPr="008728D3">
        <w:rPr>
          <w:rFonts w:ascii="Century Gothic" w:hAnsi="Century Gothic" w:cs="Calibri"/>
          <w:color w:val="000000"/>
          <w:sz w:val="22"/>
          <w:szCs w:val="22"/>
        </w:rPr>
        <w:t xml:space="preserve"> cuyas temáticas desarrolladas posean vinculación con el campo de conocimiento dominante en la función que se concursa.</w:t>
      </w:r>
    </w:p>
    <w:p w:rsidR="007A6DF1" w:rsidRPr="008728D3" w:rsidRDefault="007A6DF1" w:rsidP="007A6DF1">
      <w:pPr>
        <w:pStyle w:val="NormalWeb"/>
        <w:tabs>
          <w:tab w:val="left" w:pos="9072"/>
        </w:tabs>
        <w:spacing w:before="0" w:beforeAutospacing="0" w:after="0" w:afterAutospacing="0"/>
        <w:jc w:val="both"/>
        <w:rPr>
          <w:rFonts w:ascii="Century Gothic" w:hAnsi="Century Gothic" w:cs="Calibri"/>
          <w:color w:val="000000"/>
          <w:sz w:val="22"/>
          <w:szCs w:val="22"/>
        </w:rPr>
      </w:pPr>
    </w:p>
    <w:p w:rsidR="00DF1D41" w:rsidRPr="008728D3" w:rsidRDefault="00DF1D41" w:rsidP="007A6DF1">
      <w:pPr>
        <w:pStyle w:val="NormalWeb"/>
        <w:tabs>
          <w:tab w:val="left" w:pos="9072"/>
        </w:tabs>
        <w:spacing w:before="0" w:beforeAutospacing="0" w:after="0" w:afterAutospacing="0"/>
        <w:jc w:val="both"/>
        <w:rPr>
          <w:rFonts w:ascii="Century Gothic" w:hAnsi="Century Gothic" w:cs="Calibri"/>
          <w:color w:val="000000"/>
          <w:sz w:val="22"/>
          <w:szCs w:val="22"/>
        </w:rPr>
      </w:pPr>
    </w:p>
    <w:p w:rsidR="007A6DF1" w:rsidRPr="008728D3" w:rsidRDefault="00DF1D41" w:rsidP="007A6DF1">
      <w:pPr>
        <w:pStyle w:val="NormalWeb"/>
        <w:tabs>
          <w:tab w:val="left" w:pos="9072"/>
        </w:tabs>
        <w:spacing w:before="0" w:beforeAutospacing="0" w:after="0" w:afterAutospacing="0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8728D3">
        <w:rPr>
          <w:rFonts w:ascii="Century Gothic" w:hAnsi="Century Gothic" w:cs="Calibri"/>
          <w:color w:val="000000"/>
          <w:sz w:val="22"/>
          <w:szCs w:val="22"/>
        </w:rPr>
        <w:t xml:space="preserve">      </w:t>
      </w:r>
      <w:r w:rsidR="00B8138F">
        <w:rPr>
          <w:rFonts w:ascii="Century Gothic" w:hAnsi="Century Gothic" w:cs="Calibri"/>
          <w:color w:val="000000"/>
          <w:sz w:val="22"/>
          <w:szCs w:val="22"/>
        </w:rPr>
        <w:t>C</w:t>
      </w:r>
      <w:r w:rsidRPr="008728D3">
        <w:rPr>
          <w:rFonts w:ascii="Century Gothic" w:hAnsi="Century Gothic" w:cs="Calibri"/>
          <w:color w:val="000000"/>
          <w:sz w:val="22"/>
          <w:szCs w:val="22"/>
        </w:rPr>
        <w:t xml:space="preserve">.- </w:t>
      </w:r>
      <w:r w:rsidR="007A6DF1" w:rsidRPr="008728D3">
        <w:rPr>
          <w:rFonts w:ascii="Century Gothic" w:hAnsi="Century Gothic" w:cs="Calibri"/>
          <w:color w:val="000000"/>
          <w:sz w:val="22"/>
          <w:szCs w:val="22"/>
        </w:rPr>
        <w:t>OTROS ESTUDIOS</w:t>
      </w:r>
      <w:r w:rsidR="00C73A6A">
        <w:rPr>
          <w:rFonts w:ascii="Century Gothic" w:hAnsi="Century Gothic" w:cs="Calibri"/>
          <w:color w:val="000000"/>
          <w:sz w:val="22"/>
          <w:szCs w:val="22"/>
        </w:rPr>
        <w:t xml:space="preserve"> VINCULADOS AL CARGO CONCURSADO</w:t>
      </w:r>
    </w:p>
    <w:p w:rsidR="00DF1D41" w:rsidRPr="008728D3" w:rsidRDefault="00DF1D41" w:rsidP="007A6DF1">
      <w:pPr>
        <w:pStyle w:val="NormalWeb"/>
        <w:tabs>
          <w:tab w:val="left" w:pos="9072"/>
        </w:tabs>
        <w:spacing w:before="0" w:beforeAutospacing="0" w:after="0" w:afterAutospacing="0"/>
        <w:jc w:val="both"/>
        <w:rPr>
          <w:rFonts w:ascii="Century Gothic" w:hAnsi="Century Gothic" w:cs="Calibri"/>
          <w:color w:val="000000"/>
          <w:sz w:val="22"/>
          <w:szCs w:val="22"/>
        </w:rPr>
      </w:pPr>
    </w:p>
    <w:p w:rsidR="00DF1D41" w:rsidRPr="008728D3" w:rsidRDefault="00DF1D41" w:rsidP="007A6DF1">
      <w:pPr>
        <w:pStyle w:val="NormalWeb"/>
        <w:tabs>
          <w:tab w:val="left" w:pos="9072"/>
        </w:tabs>
        <w:spacing w:before="0" w:beforeAutospacing="0" w:after="0" w:afterAutospacing="0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8728D3">
        <w:rPr>
          <w:rFonts w:ascii="Century Gothic" w:hAnsi="Century Gothic" w:cs="Calibri"/>
          <w:color w:val="000000"/>
          <w:sz w:val="22"/>
          <w:szCs w:val="22"/>
        </w:rPr>
        <w:t>El puntaje máximo que se puede otorgar en este ítem es de 1,5</w:t>
      </w:r>
      <w:r w:rsidR="005472AC">
        <w:rPr>
          <w:rFonts w:ascii="Century Gothic" w:hAnsi="Century Gothic" w:cs="Calibri"/>
          <w:color w:val="000000"/>
          <w:sz w:val="22"/>
          <w:szCs w:val="22"/>
        </w:rPr>
        <w:t>0</w:t>
      </w:r>
      <w:r w:rsidRPr="008728D3">
        <w:rPr>
          <w:rFonts w:ascii="Century Gothic" w:hAnsi="Century Gothic" w:cs="Calibri"/>
          <w:color w:val="000000"/>
          <w:sz w:val="22"/>
          <w:szCs w:val="22"/>
        </w:rPr>
        <w:t xml:space="preserve"> pts., acorde con la siguiente escala (en caso de que se acredite una variedad de antecedentes </w:t>
      </w:r>
      <w:r w:rsidR="00280275" w:rsidRPr="008728D3">
        <w:rPr>
          <w:rFonts w:ascii="Century Gothic" w:hAnsi="Century Gothic" w:cs="Calibri"/>
          <w:color w:val="000000"/>
          <w:sz w:val="22"/>
          <w:szCs w:val="22"/>
        </w:rPr>
        <w:t>susceptibles</w:t>
      </w:r>
      <w:r w:rsidRPr="008728D3">
        <w:rPr>
          <w:rFonts w:ascii="Century Gothic" w:hAnsi="Century Gothic" w:cs="Calibri"/>
          <w:color w:val="000000"/>
          <w:sz w:val="22"/>
          <w:szCs w:val="22"/>
        </w:rPr>
        <w:t xml:space="preserve"> de clasificarse en este </w:t>
      </w:r>
      <w:r w:rsidR="00280275" w:rsidRPr="008728D3">
        <w:rPr>
          <w:rFonts w:ascii="Century Gothic" w:hAnsi="Century Gothic" w:cs="Calibri"/>
          <w:color w:val="000000"/>
          <w:sz w:val="22"/>
          <w:szCs w:val="22"/>
        </w:rPr>
        <w:t>apartado,</w:t>
      </w:r>
      <w:r w:rsidRPr="008728D3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="00280275" w:rsidRPr="008728D3">
        <w:rPr>
          <w:rFonts w:ascii="Century Gothic" w:hAnsi="Century Gothic" w:cs="Calibri"/>
          <w:color w:val="000000"/>
          <w:sz w:val="22"/>
          <w:szCs w:val="22"/>
        </w:rPr>
        <w:t xml:space="preserve">se sumarán los mismos hasta </w:t>
      </w:r>
      <w:r w:rsidR="00B0778F">
        <w:rPr>
          <w:rFonts w:ascii="Century Gothic" w:hAnsi="Century Gothic" w:cs="Calibri"/>
          <w:color w:val="000000"/>
          <w:sz w:val="22"/>
          <w:szCs w:val="22"/>
        </w:rPr>
        <w:t>alcanzar</w:t>
      </w:r>
      <w:r w:rsidRPr="008728D3">
        <w:rPr>
          <w:rFonts w:ascii="Century Gothic" w:hAnsi="Century Gothic" w:cs="Calibri"/>
          <w:color w:val="000000"/>
          <w:sz w:val="22"/>
          <w:szCs w:val="22"/>
        </w:rPr>
        <w:t xml:space="preserve"> dicho tope):</w:t>
      </w:r>
    </w:p>
    <w:p w:rsidR="00DF1D41" w:rsidRPr="008728D3" w:rsidRDefault="00DF1D41" w:rsidP="007A6DF1">
      <w:pPr>
        <w:pStyle w:val="NormalWeb"/>
        <w:tabs>
          <w:tab w:val="left" w:pos="9072"/>
        </w:tabs>
        <w:spacing w:before="0" w:beforeAutospacing="0" w:after="0" w:afterAutospacing="0"/>
        <w:jc w:val="both"/>
        <w:rPr>
          <w:rFonts w:ascii="Century Gothic" w:hAnsi="Century Gothic" w:cs="Calibri"/>
          <w:color w:val="000000"/>
          <w:sz w:val="22"/>
          <w:szCs w:val="22"/>
        </w:rPr>
      </w:pPr>
    </w:p>
    <w:p w:rsidR="007A6DF1" w:rsidRPr="008728D3" w:rsidRDefault="00B8138F" w:rsidP="00710C03">
      <w:pPr>
        <w:pStyle w:val="Textbody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a) </w:t>
      </w:r>
      <w:r w:rsidR="00DF1D41" w:rsidRPr="008728D3">
        <w:rPr>
          <w:rFonts w:ascii="Century Gothic" w:hAnsi="Century Gothic"/>
          <w:sz w:val="22"/>
          <w:szCs w:val="22"/>
        </w:rPr>
        <w:t>cursos de posgrado: 0,25 pts. por cada uno</w:t>
      </w:r>
      <w:r w:rsidR="00A43BE0" w:rsidRPr="008728D3">
        <w:rPr>
          <w:rFonts w:ascii="Century Gothic" w:hAnsi="Century Gothic"/>
          <w:sz w:val="22"/>
          <w:szCs w:val="22"/>
        </w:rPr>
        <w:t>,</w:t>
      </w:r>
      <w:r w:rsidR="00DF1D41" w:rsidRPr="008728D3">
        <w:rPr>
          <w:rFonts w:ascii="Century Gothic" w:hAnsi="Century Gothic"/>
          <w:sz w:val="22"/>
          <w:szCs w:val="22"/>
        </w:rPr>
        <w:t xml:space="preserve"> siempre que cumpla con una carga horaria mínima de 50 hs. y haya sido organizado y/o patrocinado por una institución universitaria, tanto pública como privada.</w:t>
      </w:r>
      <w:r w:rsidR="00EA027B">
        <w:rPr>
          <w:rFonts w:ascii="Century Gothic" w:hAnsi="Century Gothic"/>
          <w:sz w:val="22"/>
          <w:szCs w:val="22"/>
        </w:rPr>
        <w:t xml:space="preserve"> Asimismo, para percibir el puntaje debe acreditarse que haya culminado con un trabajo práctico, monografía o evaluación final.</w:t>
      </w:r>
    </w:p>
    <w:p w:rsidR="00280275" w:rsidRPr="008728D3" w:rsidRDefault="00B8138F" w:rsidP="00A43BE0">
      <w:pPr>
        <w:pStyle w:val="Textbody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b) </w:t>
      </w:r>
      <w:r w:rsidR="00DF1D41" w:rsidRPr="008728D3">
        <w:rPr>
          <w:rFonts w:ascii="Century Gothic" w:hAnsi="Century Gothic"/>
          <w:sz w:val="22"/>
          <w:szCs w:val="22"/>
        </w:rPr>
        <w:t>diplomaturas: 0,30 pts.</w:t>
      </w:r>
      <w:r w:rsidR="00A43BE0" w:rsidRPr="008728D3">
        <w:rPr>
          <w:rFonts w:ascii="Century Gothic" w:hAnsi="Century Gothic"/>
          <w:sz w:val="22"/>
          <w:szCs w:val="22"/>
        </w:rPr>
        <w:t xml:space="preserve"> (solo se asignará puntaje a las diplomaturas universitarias, es decir, aquellas cuya realización implique como requisito previo contar con título de grado. Asimismo, para recibir el puntaje señalado deberán estar culminadas/aprobadas).</w:t>
      </w:r>
    </w:p>
    <w:p w:rsidR="00DF1D41" w:rsidRPr="008728D3" w:rsidRDefault="00B8138F" w:rsidP="00710C03">
      <w:pPr>
        <w:pStyle w:val="Textbody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c) </w:t>
      </w:r>
      <w:r w:rsidR="00DF1D41" w:rsidRPr="008728D3">
        <w:rPr>
          <w:rFonts w:ascii="Century Gothic" w:hAnsi="Century Gothic"/>
          <w:sz w:val="22"/>
          <w:szCs w:val="22"/>
        </w:rPr>
        <w:t>carreras de grado: 1 pto.</w:t>
      </w:r>
    </w:p>
    <w:p w:rsidR="00DF1D41" w:rsidRPr="008728D3" w:rsidRDefault="00B8138F" w:rsidP="00710C03">
      <w:pPr>
        <w:pStyle w:val="Textbody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d) </w:t>
      </w:r>
      <w:r w:rsidR="00DF1D41" w:rsidRPr="008728D3">
        <w:rPr>
          <w:rFonts w:ascii="Century Gothic" w:hAnsi="Century Gothic"/>
          <w:sz w:val="22"/>
          <w:szCs w:val="22"/>
        </w:rPr>
        <w:t>carreras de especialización: 1,25 pts.</w:t>
      </w:r>
    </w:p>
    <w:p w:rsidR="00DF1D41" w:rsidRPr="008728D3" w:rsidRDefault="00B8138F" w:rsidP="00710C03">
      <w:pPr>
        <w:pStyle w:val="Textbody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e) </w:t>
      </w:r>
      <w:r w:rsidR="00DF1D41" w:rsidRPr="008728D3">
        <w:rPr>
          <w:rFonts w:ascii="Century Gothic" w:hAnsi="Century Gothic"/>
          <w:sz w:val="22"/>
          <w:szCs w:val="22"/>
        </w:rPr>
        <w:t>carreras de maestría</w:t>
      </w:r>
      <w:r w:rsidR="001C591C">
        <w:rPr>
          <w:rFonts w:ascii="Century Gothic" w:hAnsi="Century Gothic"/>
          <w:sz w:val="22"/>
          <w:szCs w:val="22"/>
        </w:rPr>
        <w:t xml:space="preserve"> y doctorados</w:t>
      </w:r>
      <w:r w:rsidR="00DF1D41" w:rsidRPr="008728D3">
        <w:rPr>
          <w:rFonts w:ascii="Century Gothic" w:hAnsi="Century Gothic"/>
          <w:sz w:val="22"/>
          <w:szCs w:val="22"/>
        </w:rPr>
        <w:t>: 1,5</w:t>
      </w:r>
      <w:r w:rsidR="005472AC">
        <w:rPr>
          <w:rFonts w:ascii="Century Gothic" w:hAnsi="Century Gothic"/>
          <w:sz w:val="22"/>
          <w:szCs w:val="22"/>
        </w:rPr>
        <w:t>0</w:t>
      </w:r>
      <w:r w:rsidR="00DF1D41" w:rsidRPr="008728D3">
        <w:rPr>
          <w:rFonts w:ascii="Century Gothic" w:hAnsi="Century Gothic"/>
          <w:sz w:val="22"/>
          <w:szCs w:val="22"/>
        </w:rPr>
        <w:t xml:space="preserve"> pts.</w:t>
      </w:r>
    </w:p>
    <w:p w:rsidR="00DF1D41" w:rsidRPr="008728D3" w:rsidRDefault="00DF1D41" w:rsidP="00710C03">
      <w:pPr>
        <w:pStyle w:val="Textbody"/>
        <w:jc w:val="both"/>
        <w:rPr>
          <w:rFonts w:ascii="Century Gothic" w:hAnsi="Century Gothic"/>
          <w:sz w:val="22"/>
          <w:szCs w:val="22"/>
        </w:rPr>
      </w:pPr>
    </w:p>
    <w:p w:rsidR="00710C03" w:rsidRPr="008728D3" w:rsidRDefault="00710C03" w:rsidP="00710C03">
      <w:pPr>
        <w:pStyle w:val="Textbody"/>
        <w:rPr>
          <w:rFonts w:ascii="Century Gothic" w:hAnsi="Century Gothic"/>
          <w:sz w:val="22"/>
          <w:szCs w:val="22"/>
        </w:rPr>
      </w:pPr>
    </w:p>
    <w:p w:rsidR="00AE2511" w:rsidRPr="008728D3" w:rsidRDefault="00B8138F" w:rsidP="00B8138F">
      <w:pPr>
        <w:spacing w:line="288" w:lineRule="auto"/>
        <w:ind w:firstLine="426"/>
        <w:rPr>
          <w:rFonts w:ascii="Century Gothic" w:hAnsi="Century Gothic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</w:rPr>
        <w:t>D</w:t>
      </w:r>
      <w:r w:rsidR="00A43BE0" w:rsidRPr="008728D3">
        <w:rPr>
          <w:rFonts w:ascii="Century Gothic" w:hAnsi="Century Gothic" w:cs="Calibri"/>
          <w:color w:val="000000"/>
          <w:sz w:val="22"/>
          <w:szCs w:val="22"/>
        </w:rPr>
        <w:t>.- PUBLICACIONES</w:t>
      </w:r>
    </w:p>
    <w:p w:rsidR="00A43BE0" w:rsidRPr="008728D3" w:rsidRDefault="00A43BE0">
      <w:pPr>
        <w:spacing w:line="288" w:lineRule="auto"/>
        <w:rPr>
          <w:rFonts w:ascii="Century Gothic" w:hAnsi="Century Gothic" w:cs="Calibri"/>
          <w:color w:val="000000"/>
          <w:sz w:val="22"/>
          <w:szCs w:val="22"/>
        </w:rPr>
      </w:pPr>
    </w:p>
    <w:p w:rsidR="00B43335" w:rsidRDefault="00A43BE0" w:rsidP="002A7538">
      <w:pPr>
        <w:spacing w:line="288" w:lineRule="auto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8728D3">
        <w:rPr>
          <w:rFonts w:ascii="Century Gothic" w:hAnsi="Century Gothic" w:cs="Calibri"/>
          <w:color w:val="000000"/>
          <w:sz w:val="22"/>
          <w:szCs w:val="22"/>
        </w:rPr>
        <w:lastRenderedPageBreak/>
        <w:t xml:space="preserve">El puntaje que ordena la norma para este </w:t>
      </w:r>
      <w:r w:rsidR="002A7538" w:rsidRPr="008728D3">
        <w:rPr>
          <w:rFonts w:ascii="Century Gothic" w:hAnsi="Century Gothic" w:cs="Calibri"/>
          <w:color w:val="000000"/>
          <w:sz w:val="22"/>
          <w:szCs w:val="22"/>
        </w:rPr>
        <w:t>ítem</w:t>
      </w:r>
      <w:r w:rsidRPr="008728D3">
        <w:rPr>
          <w:rFonts w:ascii="Century Gothic" w:hAnsi="Century Gothic" w:cs="Calibri"/>
          <w:color w:val="000000"/>
          <w:sz w:val="22"/>
          <w:szCs w:val="22"/>
        </w:rPr>
        <w:t xml:space="preserve"> es de 0,5</w:t>
      </w:r>
      <w:r w:rsidR="004300AA">
        <w:rPr>
          <w:rFonts w:ascii="Century Gothic" w:hAnsi="Century Gothic" w:cs="Calibri"/>
          <w:color w:val="000000"/>
          <w:sz w:val="22"/>
          <w:szCs w:val="22"/>
        </w:rPr>
        <w:t>0</w:t>
      </w:r>
      <w:r w:rsidRPr="008728D3">
        <w:rPr>
          <w:rFonts w:ascii="Century Gothic" w:hAnsi="Century Gothic" w:cs="Calibri"/>
          <w:color w:val="000000"/>
          <w:sz w:val="22"/>
          <w:szCs w:val="22"/>
        </w:rPr>
        <w:t xml:space="preserve"> pts.</w:t>
      </w:r>
      <w:r w:rsidR="002A7538" w:rsidRPr="008728D3">
        <w:rPr>
          <w:rFonts w:ascii="Century Gothic" w:hAnsi="Century Gothic" w:cs="Calibri"/>
          <w:color w:val="000000"/>
          <w:sz w:val="22"/>
          <w:szCs w:val="22"/>
        </w:rPr>
        <w:t>, debiendo subrayar</w:t>
      </w:r>
      <w:r w:rsidR="00B43335">
        <w:rPr>
          <w:rFonts w:ascii="Century Gothic" w:hAnsi="Century Gothic" w:cs="Calibri"/>
          <w:color w:val="000000"/>
          <w:sz w:val="22"/>
          <w:szCs w:val="22"/>
        </w:rPr>
        <w:t>se</w:t>
      </w:r>
      <w:r w:rsidR="002A7538" w:rsidRPr="008728D3">
        <w:rPr>
          <w:rFonts w:ascii="Century Gothic" w:hAnsi="Century Gothic" w:cs="Calibri"/>
          <w:color w:val="000000"/>
          <w:sz w:val="22"/>
          <w:szCs w:val="22"/>
        </w:rPr>
        <w:t xml:space="preserve"> que, atendiendo a los criterios señalados allí, se evaluará cada publicación en forma individual, otorgando como máximo el puntaje señalado</w:t>
      </w:r>
      <w:r w:rsidR="004300AA">
        <w:rPr>
          <w:rFonts w:ascii="Century Gothic" w:hAnsi="Century Gothic" w:cs="Calibri"/>
          <w:color w:val="000000"/>
          <w:sz w:val="22"/>
          <w:szCs w:val="22"/>
        </w:rPr>
        <w:t xml:space="preserve">. En los casos que se presenten varias publicaciones que sean susceptibles de percibir puntaje, se sumarán todas ellas hasta </w:t>
      </w:r>
      <w:r w:rsidR="00B0778F">
        <w:rPr>
          <w:rFonts w:ascii="Century Gothic" w:hAnsi="Century Gothic" w:cs="Calibri"/>
          <w:color w:val="000000"/>
          <w:sz w:val="22"/>
          <w:szCs w:val="22"/>
        </w:rPr>
        <w:t>alcanzar</w:t>
      </w:r>
      <w:r w:rsidR="004300AA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="00B0778F">
        <w:rPr>
          <w:rFonts w:ascii="Century Gothic" w:hAnsi="Century Gothic" w:cs="Calibri"/>
          <w:color w:val="000000"/>
          <w:sz w:val="22"/>
          <w:szCs w:val="22"/>
        </w:rPr>
        <w:t>el</w:t>
      </w:r>
      <w:r w:rsidR="004300AA">
        <w:rPr>
          <w:rFonts w:ascii="Century Gothic" w:hAnsi="Century Gothic" w:cs="Calibri"/>
          <w:color w:val="000000"/>
          <w:sz w:val="22"/>
          <w:szCs w:val="22"/>
        </w:rPr>
        <w:t xml:space="preserve"> tope de 0,50 pts.</w:t>
      </w:r>
    </w:p>
    <w:p w:rsidR="008C3948" w:rsidRDefault="008C3948" w:rsidP="002A7538">
      <w:pPr>
        <w:spacing w:line="288" w:lineRule="auto"/>
        <w:jc w:val="both"/>
        <w:rPr>
          <w:rFonts w:ascii="Century Gothic" w:hAnsi="Century Gothic" w:cs="Calibri"/>
          <w:color w:val="000000"/>
          <w:sz w:val="22"/>
          <w:szCs w:val="22"/>
        </w:rPr>
      </w:pPr>
    </w:p>
    <w:p w:rsidR="00B43335" w:rsidRPr="008728D3" w:rsidRDefault="00B43335" w:rsidP="002A7538">
      <w:pPr>
        <w:spacing w:line="288" w:lineRule="auto"/>
        <w:jc w:val="both"/>
        <w:rPr>
          <w:rFonts w:ascii="Century Gothic" w:hAnsi="Century Gothic" w:cs="Calibri"/>
          <w:color w:val="000000"/>
          <w:sz w:val="22"/>
          <w:szCs w:val="22"/>
        </w:rPr>
      </w:pPr>
    </w:p>
    <w:p w:rsidR="002A7538" w:rsidRPr="008728D3" w:rsidRDefault="00B8138F" w:rsidP="00B8138F">
      <w:pPr>
        <w:spacing w:line="288" w:lineRule="auto"/>
        <w:ind w:firstLine="426"/>
        <w:jc w:val="both"/>
        <w:rPr>
          <w:rFonts w:ascii="Century Gothic" w:hAnsi="Century Gothic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</w:rPr>
        <w:t>E</w:t>
      </w:r>
      <w:r w:rsidR="002A7538" w:rsidRPr="008728D3">
        <w:rPr>
          <w:rFonts w:ascii="Century Gothic" w:hAnsi="Century Gothic" w:cs="Calibri"/>
          <w:color w:val="000000"/>
          <w:sz w:val="22"/>
          <w:szCs w:val="22"/>
        </w:rPr>
        <w:t>.- DOCENCIA</w:t>
      </w:r>
    </w:p>
    <w:p w:rsidR="002A7538" w:rsidRDefault="002A7538" w:rsidP="002A7538">
      <w:pPr>
        <w:spacing w:line="288" w:lineRule="auto"/>
        <w:jc w:val="both"/>
        <w:rPr>
          <w:rFonts w:ascii="Century Gothic" w:hAnsi="Century Gothic" w:cs="Calibri"/>
          <w:color w:val="000000"/>
          <w:sz w:val="22"/>
          <w:szCs w:val="22"/>
        </w:rPr>
      </w:pPr>
    </w:p>
    <w:p w:rsidR="008C3948" w:rsidRPr="008728D3" w:rsidRDefault="008C3948" w:rsidP="002A7538">
      <w:pPr>
        <w:spacing w:line="288" w:lineRule="auto"/>
        <w:jc w:val="both"/>
        <w:rPr>
          <w:rFonts w:ascii="Century Gothic" w:hAnsi="Century Gothic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</w:rPr>
        <w:t>Solo se evaluará en este ítem</w:t>
      </w:r>
      <w:r w:rsidR="00B0778F">
        <w:rPr>
          <w:rFonts w:ascii="Century Gothic" w:hAnsi="Century Gothic" w:cs="Calibri"/>
          <w:color w:val="000000"/>
          <w:sz w:val="22"/>
          <w:szCs w:val="22"/>
        </w:rPr>
        <w:t>,</w:t>
      </w:r>
      <w:r>
        <w:rPr>
          <w:rFonts w:ascii="Century Gothic" w:hAnsi="Century Gothic" w:cs="Calibri"/>
          <w:color w:val="000000"/>
          <w:sz w:val="22"/>
          <w:szCs w:val="22"/>
        </w:rPr>
        <w:t xml:space="preserve"> el ejercicio de docencia en el nivel universitario y en aquellas materias que sean afines a las funciones que se concursen. La antigüedad mínima para obtener el puntaje que se muestra en cada casillero es de 3 años. Para aquellos casos en que se acredite</w:t>
      </w:r>
      <w:r w:rsidR="007200E5">
        <w:rPr>
          <w:rFonts w:ascii="Century Gothic" w:hAnsi="Century Gothic" w:cs="Calibri"/>
          <w:color w:val="000000"/>
          <w:sz w:val="22"/>
          <w:szCs w:val="22"/>
        </w:rPr>
        <w:t xml:space="preserve"> en una misma materia un mínimo de tres años, pero en diferentes cargos, se otorgará el puntaje del que posea menor jerarquía.</w:t>
      </w:r>
    </w:p>
    <w:p w:rsidR="002A7538" w:rsidRDefault="002A7538" w:rsidP="002A7538">
      <w:pPr>
        <w:spacing w:line="288" w:lineRule="auto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8728D3">
        <w:rPr>
          <w:rFonts w:ascii="Century Gothic" w:hAnsi="Century Gothic" w:cs="Calibri"/>
          <w:color w:val="000000"/>
          <w:sz w:val="22"/>
          <w:szCs w:val="22"/>
        </w:rPr>
        <w:t>El puntaje máximo a asignar es de 3</w:t>
      </w:r>
      <w:r w:rsidR="00C73A6A">
        <w:rPr>
          <w:rFonts w:ascii="Century Gothic" w:hAnsi="Century Gothic" w:cs="Calibri"/>
          <w:color w:val="000000"/>
          <w:sz w:val="22"/>
          <w:szCs w:val="22"/>
        </w:rPr>
        <w:t xml:space="preserve"> pts. según la escala que se presenta, diferenciada por la forma de acceso al cargo en cuestión.</w:t>
      </w:r>
    </w:p>
    <w:p w:rsidR="00C73A6A" w:rsidRPr="008728D3" w:rsidRDefault="00C73A6A" w:rsidP="002A7538">
      <w:pPr>
        <w:spacing w:line="288" w:lineRule="auto"/>
        <w:jc w:val="both"/>
        <w:rPr>
          <w:rFonts w:ascii="Century Gothic" w:hAnsi="Century Gothic" w:cs="Calibri"/>
          <w:color w:val="000000"/>
          <w:sz w:val="22"/>
          <w:szCs w:val="22"/>
        </w:rPr>
      </w:pPr>
    </w:p>
    <w:p w:rsidR="002A7538" w:rsidRPr="008728D3" w:rsidRDefault="00C73A6A" w:rsidP="002A7538">
      <w:pPr>
        <w:spacing w:line="288" w:lineRule="auto"/>
        <w:jc w:val="both"/>
        <w:rPr>
          <w:rFonts w:ascii="Century Gothic" w:hAnsi="Century Gothic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</w:rPr>
        <w:t>Cargos a los que se accede por concurso: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3"/>
        <w:gridCol w:w="1632"/>
        <w:gridCol w:w="2731"/>
        <w:gridCol w:w="2276"/>
      </w:tblGrid>
      <w:tr w:rsidR="002A7538" w:rsidRPr="008728D3" w:rsidTr="00B8138F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73" w:type="dxa"/>
            <w:vAlign w:val="center"/>
          </w:tcPr>
          <w:p w:rsidR="002A7538" w:rsidRPr="008728D3" w:rsidRDefault="002A7538" w:rsidP="00B8138F">
            <w:pPr>
              <w:spacing w:line="288" w:lineRule="auto"/>
              <w:ind w:left="6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728D3">
              <w:rPr>
                <w:rFonts w:ascii="Century Gothic" w:hAnsi="Century Gothic" w:cs="Calibri"/>
                <w:color w:val="000000"/>
                <w:sz w:val="22"/>
                <w:szCs w:val="22"/>
              </w:rPr>
              <w:t>Titular, Pro-titular o Asociado</w:t>
            </w:r>
          </w:p>
        </w:tc>
        <w:tc>
          <w:tcPr>
            <w:tcW w:w="1632" w:type="dxa"/>
            <w:vAlign w:val="center"/>
          </w:tcPr>
          <w:p w:rsidR="002A7538" w:rsidRPr="008728D3" w:rsidRDefault="002A7538" w:rsidP="00B8138F">
            <w:pPr>
              <w:spacing w:line="288" w:lineRule="auto"/>
              <w:ind w:left="6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728D3">
              <w:rPr>
                <w:rFonts w:ascii="Century Gothic" w:hAnsi="Century Gothic" w:cs="Calibri"/>
                <w:color w:val="000000"/>
                <w:sz w:val="22"/>
                <w:szCs w:val="22"/>
              </w:rPr>
              <w:t>Adjunto</w:t>
            </w:r>
          </w:p>
        </w:tc>
        <w:tc>
          <w:tcPr>
            <w:tcW w:w="2731" w:type="dxa"/>
            <w:vAlign w:val="center"/>
          </w:tcPr>
          <w:p w:rsidR="002A7538" w:rsidRPr="001C591C" w:rsidRDefault="002A7538" w:rsidP="00B8138F">
            <w:pPr>
              <w:spacing w:line="288" w:lineRule="auto"/>
              <w:ind w:left="6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C591C">
              <w:rPr>
                <w:rFonts w:ascii="Century Gothic" w:hAnsi="Century Gothic" w:cs="Calibri"/>
                <w:color w:val="000000"/>
                <w:sz w:val="22"/>
                <w:szCs w:val="22"/>
              </w:rPr>
              <w:t>Jefe de Trabajos Prácticos</w:t>
            </w:r>
            <w:r w:rsidR="001C591C" w:rsidRPr="001C591C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o equivalente</w:t>
            </w:r>
          </w:p>
        </w:tc>
        <w:tc>
          <w:tcPr>
            <w:tcW w:w="2276" w:type="dxa"/>
            <w:vAlign w:val="center"/>
          </w:tcPr>
          <w:p w:rsidR="002A7538" w:rsidRPr="008728D3" w:rsidRDefault="002A7538" w:rsidP="00B8138F">
            <w:pPr>
              <w:spacing w:line="288" w:lineRule="auto"/>
              <w:ind w:left="6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728D3">
              <w:rPr>
                <w:rFonts w:ascii="Century Gothic" w:hAnsi="Century Gothic" w:cs="Calibri"/>
                <w:color w:val="000000"/>
                <w:sz w:val="22"/>
                <w:szCs w:val="22"/>
              </w:rPr>
              <w:t>Ayudante</w:t>
            </w:r>
          </w:p>
        </w:tc>
      </w:tr>
      <w:tr w:rsidR="002A7538" w:rsidRPr="008728D3" w:rsidTr="00B8138F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473" w:type="dxa"/>
            <w:vAlign w:val="center"/>
          </w:tcPr>
          <w:p w:rsidR="002A7538" w:rsidRPr="008728D3" w:rsidRDefault="002A7538" w:rsidP="00B8138F">
            <w:pPr>
              <w:spacing w:line="288" w:lineRule="auto"/>
              <w:ind w:left="6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728D3">
              <w:rPr>
                <w:rFonts w:ascii="Century Gothic" w:hAnsi="Century Gothic" w:cs="Calibri"/>
                <w:color w:val="000000"/>
                <w:sz w:val="22"/>
                <w:szCs w:val="22"/>
              </w:rPr>
              <w:t>3 pts.</w:t>
            </w:r>
          </w:p>
        </w:tc>
        <w:tc>
          <w:tcPr>
            <w:tcW w:w="1632" w:type="dxa"/>
            <w:vAlign w:val="center"/>
          </w:tcPr>
          <w:p w:rsidR="002A7538" w:rsidRPr="008728D3" w:rsidRDefault="002A7538" w:rsidP="00B8138F">
            <w:pPr>
              <w:spacing w:line="288" w:lineRule="auto"/>
              <w:ind w:left="6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728D3">
              <w:rPr>
                <w:rFonts w:ascii="Century Gothic" w:hAnsi="Century Gothic" w:cs="Calibri"/>
                <w:color w:val="000000"/>
                <w:sz w:val="22"/>
                <w:szCs w:val="22"/>
              </w:rPr>
              <w:t>2 pts.</w:t>
            </w:r>
          </w:p>
        </w:tc>
        <w:tc>
          <w:tcPr>
            <w:tcW w:w="2731" w:type="dxa"/>
            <w:vAlign w:val="center"/>
          </w:tcPr>
          <w:p w:rsidR="002A7538" w:rsidRPr="008728D3" w:rsidRDefault="002A7538" w:rsidP="00B8138F">
            <w:pPr>
              <w:spacing w:line="288" w:lineRule="auto"/>
              <w:ind w:left="6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728D3">
              <w:rPr>
                <w:rFonts w:ascii="Century Gothic" w:hAnsi="Century Gothic" w:cs="Calibri"/>
                <w:color w:val="000000"/>
                <w:sz w:val="22"/>
                <w:szCs w:val="22"/>
              </w:rPr>
              <w:t>1 pto.</w:t>
            </w:r>
          </w:p>
        </w:tc>
        <w:tc>
          <w:tcPr>
            <w:tcW w:w="2276" w:type="dxa"/>
            <w:vAlign w:val="center"/>
          </w:tcPr>
          <w:p w:rsidR="002A7538" w:rsidRPr="008728D3" w:rsidRDefault="002A7538" w:rsidP="00B8138F">
            <w:pPr>
              <w:spacing w:line="288" w:lineRule="auto"/>
              <w:ind w:left="6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728D3">
              <w:rPr>
                <w:rFonts w:ascii="Century Gothic" w:hAnsi="Century Gothic" w:cs="Calibri"/>
                <w:color w:val="000000"/>
                <w:sz w:val="22"/>
                <w:szCs w:val="22"/>
              </w:rPr>
              <w:t>0,50 pts.</w:t>
            </w:r>
          </w:p>
        </w:tc>
      </w:tr>
    </w:tbl>
    <w:p w:rsidR="002A7538" w:rsidRDefault="002A7538" w:rsidP="002A7538">
      <w:pPr>
        <w:spacing w:line="288" w:lineRule="auto"/>
        <w:jc w:val="both"/>
        <w:rPr>
          <w:rFonts w:ascii="Century Gothic" w:hAnsi="Century Gothic" w:cs="Tahoma"/>
          <w:sz w:val="22"/>
          <w:szCs w:val="22"/>
        </w:rPr>
      </w:pPr>
    </w:p>
    <w:p w:rsidR="00C73A6A" w:rsidRPr="008728D3" w:rsidRDefault="00C73A6A" w:rsidP="00C73A6A">
      <w:pPr>
        <w:spacing w:line="288" w:lineRule="auto"/>
        <w:jc w:val="both"/>
        <w:rPr>
          <w:rFonts w:ascii="Century Gothic" w:hAnsi="Century Gothic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</w:rPr>
        <w:t>Cargos a los que se accede sin mediar procedimiento de concurso: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3"/>
        <w:gridCol w:w="1632"/>
        <w:gridCol w:w="2731"/>
        <w:gridCol w:w="2276"/>
      </w:tblGrid>
      <w:tr w:rsidR="00C73A6A" w:rsidRPr="008728D3" w:rsidTr="004A0917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73" w:type="dxa"/>
            <w:vAlign w:val="center"/>
          </w:tcPr>
          <w:p w:rsidR="00C73A6A" w:rsidRPr="008728D3" w:rsidRDefault="00C73A6A" w:rsidP="004A0917">
            <w:pPr>
              <w:spacing w:line="288" w:lineRule="auto"/>
              <w:ind w:left="6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728D3">
              <w:rPr>
                <w:rFonts w:ascii="Century Gothic" w:hAnsi="Century Gothic" w:cs="Calibri"/>
                <w:color w:val="000000"/>
                <w:sz w:val="22"/>
                <w:szCs w:val="22"/>
              </w:rPr>
              <w:t>Titular, Pro-titular o Asociado</w:t>
            </w:r>
          </w:p>
        </w:tc>
        <w:tc>
          <w:tcPr>
            <w:tcW w:w="1632" w:type="dxa"/>
            <w:vAlign w:val="center"/>
          </w:tcPr>
          <w:p w:rsidR="00C73A6A" w:rsidRPr="008728D3" w:rsidRDefault="00C73A6A" w:rsidP="004A0917">
            <w:pPr>
              <w:spacing w:line="288" w:lineRule="auto"/>
              <w:ind w:left="6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728D3">
              <w:rPr>
                <w:rFonts w:ascii="Century Gothic" w:hAnsi="Century Gothic" w:cs="Calibri"/>
                <w:color w:val="000000"/>
                <w:sz w:val="22"/>
                <w:szCs w:val="22"/>
              </w:rPr>
              <w:t>Adjunto</w:t>
            </w:r>
          </w:p>
        </w:tc>
        <w:tc>
          <w:tcPr>
            <w:tcW w:w="2731" w:type="dxa"/>
            <w:vAlign w:val="center"/>
          </w:tcPr>
          <w:p w:rsidR="00C73A6A" w:rsidRPr="001C591C" w:rsidRDefault="00C73A6A" w:rsidP="004A0917">
            <w:pPr>
              <w:spacing w:line="288" w:lineRule="auto"/>
              <w:ind w:left="6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C591C">
              <w:rPr>
                <w:rFonts w:ascii="Century Gothic" w:hAnsi="Century Gothic" w:cs="Calibri"/>
                <w:color w:val="000000"/>
                <w:sz w:val="22"/>
                <w:szCs w:val="22"/>
              </w:rPr>
              <w:t>Jefe de Trabajos Prácticos o equivalente</w:t>
            </w:r>
          </w:p>
        </w:tc>
        <w:tc>
          <w:tcPr>
            <w:tcW w:w="2276" w:type="dxa"/>
            <w:vAlign w:val="center"/>
          </w:tcPr>
          <w:p w:rsidR="00C73A6A" w:rsidRPr="008728D3" w:rsidRDefault="00C73A6A" w:rsidP="004A0917">
            <w:pPr>
              <w:spacing w:line="288" w:lineRule="auto"/>
              <w:ind w:left="6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728D3">
              <w:rPr>
                <w:rFonts w:ascii="Century Gothic" w:hAnsi="Century Gothic" w:cs="Calibri"/>
                <w:color w:val="000000"/>
                <w:sz w:val="22"/>
                <w:szCs w:val="22"/>
              </w:rPr>
              <w:t>Ayudante</w:t>
            </w:r>
          </w:p>
        </w:tc>
      </w:tr>
      <w:tr w:rsidR="00C73A6A" w:rsidRPr="008728D3" w:rsidTr="004A091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473" w:type="dxa"/>
            <w:vAlign w:val="center"/>
          </w:tcPr>
          <w:p w:rsidR="00C73A6A" w:rsidRPr="008728D3" w:rsidRDefault="00C73A6A" w:rsidP="004A0917">
            <w:pPr>
              <w:spacing w:line="288" w:lineRule="auto"/>
              <w:ind w:left="6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2</w:t>
            </w:r>
            <w:r w:rsidRPr="008728D3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pts.</w:t>
            </w:r>
          </w:p>
        </w:tc>
        <w:tc>
          <w:tcPr>
            <w:tcW w:w="1632" w:type="dxa"/>
            <w:vAlign w:val="center"/>
          </w:tcPr>
          <w:p w:rsidR="00C73A6A" w:rsidRPr="008728D3" w:rsidRDefault="00C73A6A" w:rsidP="004A0917">
            <w:pPr>
              <w:spacing w:line="288" w:lineRule="auto"/>
              <w:ind w:left="6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1,40</w:t>
            </w:r>
            <w:r w:rsidRPr="008728D3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pts.</w:t>
            </w:r>
          </w:p>
        </w:tc>
        <w:tc>
          <w:tcPr>
            <w:tcW w:w="2731" w:type="dxa"/>
            <w:vAlign w:val="center"/>
          </w:tcPr>
          <w:p w:rsidR="00C73A6A" w:rsidRPr="008728D3" w:rsidRDefault="00C73A6A" w:rsidP="004A0917">
            <w:pPr>
              <w:spacing w:line="288" w:lineRule="auto"/>
              <w:ind w:left="6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0,70 pts</w:t>
            </w:r>
            <w:r w:rsidRPr="008728D3">
              <w:rPr>
                <w:rFonts w:ascii="Century Gothic" w:hAnsi="Century Gothic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6" w:type="dxa"/>
            <w:vAlign w:val="center"/>
          </w:tcPr>
          <w:p w:rsidR="00C73A6A" w:rsidRPr="008728D3" w:rsidRDefault="00C73A6A" w:rsidP="004A0917">
            <w:pPr>
              <w:spacing w:line="288" w:lineRule="auto"/>
              <w:ind w:left="6"/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0,3</w:t>
            </w:r>
            <w:r w:rsidRPr="008728D3">
              <w:rPr>
                <w:rFonts w:ascii="Century Gothic" w:hAnsi="Century Gothic" w:cs="Calibri"/>
                <w:color w:val="000000"/>
                <w:sz w:val="22"/>
                <w:szCs w:val="22"/>
              </w:rPr>
              <w:t>0 pts.</w:t>
            </w:r>
          </w:p>
        </w:tc>
      </w:tr>
    </w:tbl>
    <w:p w:rsidR="00C73A6A" w:rsidRPr="008728D3" w:rsidRDefault="00C73A6A" w:rsidP="002A7538">
      <w:pPr>
        <w:spacing w:line="288" w:lineRule="auto"/>
        <w:jc w:val="both"/>
        <w:rPr>
          <w:rFonts w:ascii="Century Gothic" w:hAnsi="Century Gothic" w:cs="Tahoma"/>
          <w:sz w:val="22"/>
          <w:szCs w:val="22"/>
        </w:rPr>
      </w:pPr>
    </w:p>
    <w:p w:rsidR="00C73A6A" w:rsidRDefault="00C73A6A" w:rsidP="002A7538">
      <w:pPr>
        <w:spacing w:line="288" w:lineRule="auto"/>
        <w:jc w:val="both"/>
        <w:rPr>
          <w:rFonts w:ascii="Century Gothic" w:hAnsi="Century Gothic" w:cs="Tahoma"/>
          <w:sz w:val="22"/>
          <w:szCs w:val="22"/>
        </w:rPr>
      </w:pPr>
    </w:p>
    <w:p w:rsidR="002A7538" w:rsidRPr="008728D3" w:rsidRDefault="00B8138F" w:rsidP="00B8138F">
      <w:pPr>
        <w:spacing w:line="288" w:lineRule="auto"/>
        <w:ind w:firstLine="426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F</w:t>
      </w:r>
      <w:r w:rsidR="002A7538" w:rsidRPr="008728D3">
        <w:rPr>
          <w:rFonts w:ascii="Century Gothic" w:hAnsi="Century Gothic" w:cs="Tahoma"/>
          <w:sz w:val="22"/>
          <w:szCs w:val="22"/>
        </w:rPr>
        <w:t>.- CONFERENCIAS DICTADAS POR EL CONCURSANTE</w:t>
      </w:r>
    </w:p>
    <w:p w:rsidR="002A7538" w:rsidRPr="008728D3" w:rsidRDefault="002A7538" w:rsidP="002A7538">
      <w:pPr>
        <w:spacing w:line="288" w:lineRule="auto"/>
        <w:jc w:val="both"/>
        <w:rPr>
          <w:rFonts w:ascii="Century Gothic" w:hAnsi="Century Gothic" w:cs="Tahoma"/>
          <w:sz w:val="22"/>
          <w:szCs w:val="22"/>
        </w:rPr>
      </w:pPr>
    </w:p>
    <w:p w:rsidR="002A7538" w:rsidRPr="008728D3" w:rsidRDefault="008728D3" w:rsidP="002A7538">
      <w:pPr>
        <w:spacing w:line="288" w:lineRule="auto"/>
        <w:jc w:val="both"/>
        <w:rPr>
          <w:rFonts w:ascii="Century Gothic" w:hAnsi="Century Gothic" w:cs="Tahoma"/>
          <w:sz w:val="22"/>
          <w:szCs w:val="22"/>
        </w:rPr>
      </w:pPr>
      <w:r w:rsidRPr="008728D3">
        <w:rPr>
          <w:rFonts w:ascii="Century Gothic" w:hAnsi="Century Gothic" w:cs="Tahoma"/>
          <w:sz w:val="22"/>
          <w:szCs w:val="22"/>
        </w:rPr>
        <w:t>El puntaje máximo que puede obtenerse en este ítem es 1,50 pts. Se evaluará cada participación en carácter de conferencista/expositor/disertante, atendiendo los parámetros establecidos en el Decreto</w:t>
      </w:r>
      <w:r w:rsidR="00B43335">
        <w:rPr>
          <w:rFonts w:ascii="Century Gothic" w:hAnsi="Century Gothic" w:cs="Tahoma"/>
          <w:sz w:val="22"/>
          <w:szCs w:val="22"/>
        </w:rPr>
        <w:t xml:space="preserve"> referenciado</w:t>
      </w:r>
      <w:r w:rsidRPr="008728D3">
        <w:rPr>
          <w:rFonts w:ascii="Century Gothic" w:hAnsi="Century Gothic" w:cs="Tahoma"/>
          <w:sz w:val="22"/>
          <w:szCs w:val="22"/>
        </w:rPr>
        <w:t>. Para cada desempeño en este sentido</w:t>
      </w:r>
      <w:r w:rsidR="007200E5">
        <w:rPr>
          <w:rFonts w:ascii="Century Gothic" w:hAnsi="Century Gothic" w:cs="Tahoma"/>
          <w:sz w:val="22"/>
          <w:szCs w:val="22"/>
        </w:rPr>
        <w:t>,</w:t>
      </w:r>
      <w:r w:rsidR="00B43335">
        <w:rPr>
          <w:rFonts w:ascii="Century Gothic" w:hAnsi="Century Gothic" w:cs="Tahoma"/>
          <w:sz w:val="22"/>
          <w:szCs w:val="22"/>
        </w:rPr>
        <w:t xml:space="preserve"> que sea susceptible</w:t>
      </w:r>
      <w:r w:rsidR="007200E5">
        <w:rPr>
          <w:rFonts w:ascii="Century Gothic" w:hAnsi="Century Gothic" w:cs="Tahoma"/>
          <w:sz w:val="22"/>
          <w:szCs w:val="22"/>
        </w:rPr>
        <w:t xml:space="preserve"> de calificación</w:t>
      </w:r>
      <w:r w:rsidR="00B43335">
        <w:rPr>
          <w:rFonts w:ascii="Century Gothic" w:hAnsi="Century Gothic" w:cs="Tahoma"/>
          <w:sz w:val="22"/>
          <w:szCs w:val="22"/>
        </w:rPr>
        <w:t xml:space="preserve"> conforme las pautas evaluativas</w:t>
      </w:r>
      <w:r w:rsidRPr="008728D3">
        <w:rPr>
          <w:rFonts w:ascii="Century Gothic" w:hAnsi="Century Gothic" w:cs="Tahoma"/>
          <w:sz w:val="22"/>
          <w:szCs w:val="22"/>
        </w:rPr>
        <w:t>, se adjudicarán 0,15 pts.</w:t>
      </w:r>
      <w:r w:rsidR="002F3375">
        <w:rPr>
          <w:rFonts w:ascii="Century Gothic" w:hAnsi="Century Gothic" w:cs="Tahoma"/>
          <w:sz w:val="22"/>
          <w:szCs w:val="22"/>
        </w:rPr>
        <w:t>-</w:t>
      </w:r>
    </w:p>
    <w:p w:rsidR="008728D3" w:rsidRPr="008728D3" w:rsidRDefault="008728D3" w:rsidP="002A7538">
      <w:pPr>
        <w:spacing w:line="288" w:lineRule="auto"/>
        <w:jc w:val="both"/>
        <w:rPr>
          <w:rFonts w:ascii="Century Gothic" w:hAnsi="Century Gothic" w:cs="Tahoma"/>
          <w:sz w:val="22"/>
          <w:szCs w:val="22"/>
        </w:rPr>
      </w:pPr>
    </w:p>
    <w:p w:rsidR="008728D3" w:rsidRPr="008728D3" w:rsidRDefault="008728D3" w:rsidP="002A7538">
      <w:pPr>
        <w:spacing w:line="288" w:lineRule="auto"/>
        <w:jc w:val="both"/>
        <w:rPr>
          <w:rFonts w:ascii="Century Gothic" w:hAnsi="Century Gothic" w:cs="Tahoma"/>
          <w:sz w:val="22"/>
          <w:szCs w:val="22"/>
        </w:rPr>
      </w:pPr>
    </w:p>
    <w:sectPr w:rsidR="008728D3" w:rsidRPr="008728D3" w:rsidSect="00E127BD">
      <w:headerReference w:type="default" r:id="rId8"/>
      <w:pgSz w:w="11907" w:h="16840" w:code="9"/>
      <w:pgMar w:top="3402" w:right="1134" w:bottom="141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27" w:rsidRDefault="00455B27" w:rsidP="0045458B">
      <w:r>
        <w:separator/>
      </w:r>
    </w:p>
  </w:endnote>
  <w:endnote w:type="continuationSeparator" w:id="0">
    <w:p w:rsidR="00455B27" w:rsidRDefault="00455B27" w:rsidP="00454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altName w:val="Ink Free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helleyAllegro BT">
    <w:altName w:val="Liberation Mono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27" w:rsidRDefault="00455B27" w:rsidP="0045458B">
      <w:r>
        <w:separator/>
      </w:r>
    </w:p>
  </w:footnote>
  <w:footnote w:type="continuationSeparator" w:id="0">
    <w:p w:rsidR="00455B27" w:rsidRDefault="00455B27" w:rsidP="00454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8B" w:rsidRDefault="0045458B" w:rsidP="0045458B">
    <w:pPr>
      <w:pStyle w:val="Ttulo3"/>
      <w:spacing w:line="360" w:lineRule="auto"/>
      <w:ind w:left="4248"/>
      <w:jc w:val="right"/>
      <w:rPr>
        <w:sz w:val="20"/>
        <w:szCs w:val="20"/>
      </w:rPr>
    </w:pPr>
  </w:p>
  <w:p w:rsidR="0045458B" w:rsidRDefault="0045458B" w:rsidP="0045458B">
    <w:pPr>
      <w:pStyle w:val="Ttulo3"/>
      <w:spacing w:line="360" w:lineRule="auto"/>
      <w:ind w:left="4248"/>
      <w:jc w:val="right"/>
      <w:rPr>
        <w:sz w:val="20"/>
        <w:szCs w:val="20"/>
      </w:rPr>
    </w:pPr>
  </w:p>
  <w:p w:rsidR="0045458B" w:rsidRDefault="0045458B" w:rsidP="0045458B">
    <w:pPr>
      <w:pStyle w:val="Ttulo3"/>
      <w:spacing w:line="360" w:lineRule="auto"/>
      <w:ind w:left="4248"/>
      <w:jc w:val="right"/>
      <w:rPr>
        <w:sz w:val="20"/>
        <w:szCs w:val="20"/>
      </w:rPr>
    </w:pPr>
  </w:p>
  <w:p w:rsidR="002F3375" w:rsidRDefault="00BE4936" w:rsidP="002F3375">
    <w:r>
      <w:rPr>
        <w:noProof/>
        <w:lang w:val="es-AR" w:eastAsia="es-AR"/>
      </w:rPr>
      <w:drawing>
        <wp:inline distT="0" distB="0" distL="0" distR="0">
          <wp:extent cx="438150" cy="5905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3375" w:rsidRDefault="002F3375" w:rsidP="002F3375">
    <w:pPr>
      <w:ind w:left="-709"/>
    </w:pPr>
    <w:r>
      <w:rPr>
        <w:rFonts w:ascii="Edwardian Script ITC" w:hAnsi="Edwardian Script ITC"/>
        <w:sz w:val="32"/>
        <w:szCs w:val="32"/>
      </w:rPr>
      <w:t xml:space="preserve">    Jurado de Concursos</w:t>
    </w:r>
  </w:p>
  <w:p w:rsidR="002F3375" w:rsidRPr="00232EA9" w:rsidRDefault="002F3375" w:rsidP="002F3375">
    <w:pPr>
      <w:pStyle w:val="Encabezado"/>
      <w:ind w:left="-709"/>
      <w:rPr>
        <w:rFonts w:ascii="ShelleyAllegro BT" w:hAnsi="ShelleyAllegro BT"/>
        <w:b/>
        <w:bCs/>
        <w:i/>
        <w:iCs/>
        <w:sz w:val="28"/>
        <w:lang w:val="es-AR"/>
      </w:rPr>
    </w:pPr>
    <w:r>
      <w:rPr>
        <w:rFonts w:ascii="Edwardian Script ITC" w:hAnsi="Edwardian Script ITC"/>
        <w:b/>
        <w:bCs/>
        <w:sz w:val="28"/>
      </w:rPr>
      <w:t xml:space="preserve">  </w:t>
    </w:r>
    <w:r>
      <w:rPr>
        <w:rFonts w:ascii="Edwardian Script ITC" w:hAnsi="Edwardian Script ITC"/>
        <w:b/>
        <w:bCs/>
        <w:sz w:val="28"/>
        <w:lang w:val="es-AR"/>
      </w:rPr>
      <w:t xml:space="preserve">       Ley N°10.463</w:t>
    </w:r>
  </w:p>
  <w:p w:rsidR="00BE4936" w:rsidRPr="000E4D13" w:rsidRDefault="00BE4936" w:rsidP="00BE4936">
    <w:pPr>
      <w:pStyle w:val="Ttulo3"/>
      <w:spacing w:line="360" w:lineRule="auto"/>
      <w:ind w:left="4248"/>
      <w:rPr>
        <w:rFonts w:ascii="Century Gothic" w:hAnsi="Century Gothic"/>
        <w:szCs w:val="22"/>
        <w:u w:val="single"/>
      </w:rPr>
    </w:pPr>
    <w:r w:rsidRPr="000E4D13">
      <w:rPr>
        <w:rFonts w:ascii="Century Gothic" w:hAnsi="Century Gothic"/>
        <w:szCs w:val="22"/>
        <w:u w:val="single"/>
      </w:rPr>
      <w:t>RESOLUCIÓN CONJUNTA Nº 3 J.T.C.E.R.</w:t>
    </w:r>
  </w:p>
  <w:p w:rsidR="00B8138F" w:rsidRPr="00B8138F" w:rsidRDefault="00B8138F" w:rsidP="00B8138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362"/>
    <w:multiLevelType w:val="hybridMultilevel"/>
    <w:tmpl w:val="9DB249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252D9"/>
    <w:multiLevelType w:val="hybridMultilevel"/>
    <w:tmpl w:val="BE96F800"/>
    <w:lvl w:ilvl="0" w:tplc="916C7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647DF"/>
    <w:multiLevelType w:val="hybridMultilevel"/>
    <w:tmpl w:val="3FC4A190"/>
    <w:lvl w:ilvl="0" w:tplc="BB5C30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C3DBB"/>
    <w:multiLevelType w:val="hybridMultilevel"/>
    <w:tmpl w:val="BBFEBA4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C85107"/>
    <w:multiLevelType w:val="hybridMultilevel"/>
    <w:tmpl w:val="7194A1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C22EE"/>
    <w:multiLevelType w:val="hybridMultilevel"/>
    <w:tmpl w:val="52FE67FC"/>
    <w:lvl w:ilvl="0" w:tplc="256AC8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760CF"/>
    <w:multiLevelType w:val="hybridMultilevel"/>
    <w:tmpl w:val="4DB4833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58B"/>
    <w:rsid w:val="00016B44"/>
    <w:rsid w:val="000214D7"/>
    <w:rsid w:val="00027F57"/>
    <w:rsid w:val="000D3C7E"/>
    <w:rsid w:val="000F46E8"/>
    <w:rsid w:val="001406E6"/>
    <w:rsid w:val="00153A21"/>
    <w:rsid w:val="00160FEF"/>
    <w:rsid w:val="001C4A8D"/>
    <w:rsid w:val="001C591C"/>
    <w:rsid w:val="002340FC"/>
    <w:rsid w:val="002379A2"/>
    <w:rsid w:val="00262E18"/>
    <w:rsid w:val="00277239"/>
    <w:rsid w:val="00280275"/>
    <w:rsid w:val="00285229"/>
    <w:rsid w:val="002A6783"/>
    <w:rsid w:val="002A7538"/>
    <w:rsid w:val="002E63DC"/>
    <w:rsid w:val="002F31AB"/>
    <w:rsid w:val="002F3375"/>
    <w:rsid w:val="00353E83"/>
    <w:rsid w:val="00394E3B"/>
    <w:rsid w:val="003F5A85"/>
    <w:rsid w:val="00413FD9"/>
    <w:rsid w:val="004300AA"/>
    <w:rsid w:val="004440B0"/>
    <w:rsid w:val="0045458B"/>
    <w:rsid w:val="00455B27"/>
    <w:rsid w:val="00461AB9"/>
    <w:rsid w:val="004814CD"/>
    <w:rsid w:val="00490993"/>
    <w:rsid w:val="004A0917"/>
    <w:rsid w:val="004A12CE"/>
    <w:rsid w:val="004E5DFC"/>
    <w:rsid w:val="005472AC"/>
    <w:rsid w:val="005665B0"/>
    <w:rsid w:val="005710D9"/>
    <w:rsid w:val="00573703"/>
    <w:rsid w:val="00596B77"/>
    <w:rsid w:val="005C5B73"/>
    <w:rsid w:val="006064EE"/>
    <w:rsid w:val="00643654"/>
    <w:rsid w:val="006649EE"/>
    <w:rsid w:val="006875D6"/>
    <w:rsid w:val="00691835"/>
    <w:rsid w:val="006B0A01"/>
    <w:rsid w:val="00710C03"/>
    <w:rsid w:val="007200E5"/>
    <w:rsid w:val="00781E71"/>
    <w:rsid w:val="007A68EC"/>
    <w:rsid w:val="007A6DF1"/>
    <w:rsid w:val="007B3258"/>
    <w:rsid w:val="007B3759"/>
    <w:rsid w:val="007C755C"/>
    <w:rsid w:val="007E25E1"/>
    <w:rsid w:val="007F29D4"/>
    <w:rsid w:val="008006C4"/>
    <w:rsid w:val="00812E31"/>
    <w:rsid w:val="00826F13"/>
    <w:rsid w:val="00841EDC"/>
    <w:rsid w:val="00846B4E"/>
    <w:rsid w:val="008577CD"/>
    <w:rsid w:val="008728D3"/>
    <w:rsid w:val="00884712"/>
    <w:rsid w:val="00885695"/>
    <w:rsid w:val="00895BC5"/>
    <w:rsid w:val="008C3948"/>
    <w:rsid w:val="008F562B"/>
    <w:rsid w:val="00930CDD"/>
    <w:rsid w:val="00952BC9"/>
    <w:rsid w:val="00975F2F"/>
    <w:rsid w:val="009779BB"/>
    <w:rsid w:val="009A14D1"/>
    <w:rsid w:val="009F7E6B"/>
    <w:rsid w:val="00A012C6"/>
    <w:rsid w:val="00A43BE0"/>
    <w:rsid w:val="00A54791"/>
    <w:rsid w:val="00AC5BF9"/>
    <w:rsid w:val="00AE2511"/>
    <w:rsid w:val="00B0008B"/>
    <w:rsid w:val="00B02F52"/>
    <w:rsid w:val="00B0778F"/>
    <w:rsid w:val="00B43335"/>
    <w:rsid w:val="00B8138F"/>
    <w:rsid w:val="00BB0520"/>
    <w:rsid w:val="00BE4936"/>
    <w:rsid w:val="00C06F01"/>
    <w:rsid w:val="00C40FB7"/>
    <w:rsid w:val="00C657BF"/>
    <w:rsid w:val="00C73A6A"/>
    <w:rsid w:val="00C821CB"/>
    <w:rsid w:val="00CE0268"/>
    <w:rsid w:val="00D155BC"/>
    <w:rsid w:val="00D5217B"/>
    <w:rsid w:val="00D8413B"/>
    <w:rsid w:val="00D924A1"/>
    <w:rsid w:val="00DA00F1"/>
    <w:rsid w:val="00DE5C08"/>
    <w:rsid w:val="00DF1C2B"/>
    <w:rsid w:val="00DF1D41"/>
    <w:rsid w:val="00E127BD"/>
    <w:rsid w:val="00E3630C"/>
    <w:rsid w:val="00E37CC2"/>
    <w:rsid w:val="00E51871"/>
    <w:rsid w:val="00E7485C"/>
    <w:rsid w:val="00E775B5"/>
    <w:rsid w:val="00E9441E"/>
    <w:rsid w:val="00EA027B"/>
    <w:rsid w:val="00EB38AA"/>
    <w:rsid w:val="00EB78D4"/>
    <w:rsid w:val="00EC050F"/>
    <w:rsid w:val="00EE7A7A"/>
    <w:rsid w:val="00EF0A32"/>
    <w:rsid w:val="00EF39E9"/>
    <w:rsid w:val="00F064D4"/>
    <w:rsid w:val="00F06DC3"/>
    <w:rsid w:val="00F2228F"/>
    <w:rsid w:val="00F57F36"/>
    <w:rsid w:val="00F60263"/>
    <w:rsid w:val="00FD6D10"/>
    <w:rsid w:val="00FF60CD"/>
    <w:rsid w:val="00FF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bCs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eastAsia="Arial Unicode MS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Tahoma" w:eastAsia="Arial Unicode MS" w:hAnsi="Tahoma" w:cs="Tahoma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spacing w:line="360" w:lineRule="auto"/>
      <w:ind w:firstLine="708"/>
      <w:jc w:val="both"/>
    </w:pPr>
    <w:rPr>
      <w:rFonts w:ascii="Tahoma" w:hAnsi="Tahoma" w:cs="Tahoma"/>
    </w:rPr>
  </w:style>
  <w:style w:type="paragraph" w:styleId="Textoindependiente">
    <w:name w:val="Body Text"/>
    <w:basedOn w:val="Normal"/>
    <w:semiHidden/>
    <w:pPr>
      <w:spacing w:line="360" w:lineRule="auto"/>
      <w:jc w:val="both"/>
    </w:pPr>
    <w:rPr>
      <w:rFonts w:ascii="Tahoma" w:hAnsi="Tahoma" w:cs="Tahoma"/>
    </w:rPr>
  </w:style>
  <w:style w:type="paragraph" w:styleId="Sangra2detindependiente">
    <w:name w:val="Body Text Indent 2"/>
    <w:basedOn w:val="Normal"/>
    <w:semiHidden/>
    <w:pPr>
      <w:spacing w:line="360" w:lineRule="auto"/>
      <w:ind w:firstLine="708"/>
      <w:jc w:val="both"/>
    </w:pPr>
    <w:rPr>
      <w:rFonts w:ascii="Tahoma" w:hAnsi="Tahoma" w:cs="Tahoma"/>
      <w:sz w:val="22"/>
    </w:rPr>
  </w:style>
  <w:style w:type="paragraph" w:styleId="Encabezado">
    <w:name w:val="header"/>
    <w:basedOn w:val="Normal"/>
    <w:link w:val="EncabezadoCar"/>
    <w:unhideWhenUsed/>
    <w:rsid w:val="004545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45458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545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5458B"/>
    <w:rPr>
      <w:sz w:val="24"/>
      <w:szCs w:val="24"/>
      <w:lang w:val="es-ES" w:eastAsia="es-ES"/>
    </w:rPr>
  </w:style>
  <w:style w:type="paragraph" w:customStyle="1" w:styleId="Textbody">
    <w:name w:val="Text body"/>
    <w:basedOn w:val="Normal"/>
    <w:rsid w:val="00AE2511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val="es-AR" w:eastAsia="zh-CN" w:bidi="hi-IN"/>
    </w:rPr>
  </w:style>
  <w:style w:type="paragraph" w:styleId="Prrafodelista">
    <w:name w:val="List Paragraph"/>
    <w:basedOn w:val="Normal"/>
    <w:uiPriority w:val="34"/>
    <w:qFormat/>
    <w:rsid w:val="00710C03"/>
    <w:pPr>
      <w:spacing w:after="200" w:line="276" w:lineRule="auto"/>
      <w:ind w:left="720"/>
      <w:contextualSpacing/>
    </w:pPr>
    <w:rPr>
      <w:rFonts w:ascii="Calibri" w:eastAsia="Calibri" w:hAnsi="Calibri" w:cs="Mangal"/>
      <w:kern w:val="3"/>
      <w:sz w:val="22"/>
      <w:szCs w:val="22"/>
      <w:lang w:val="es-AR" w:eastAsia="en-US"/>
    </w:rPr>
  </w:style>
  <w:style w:type="paragraph" w:styleId="NormalWeb">
    <w:name w:val="Normal (Web)"/>
    <w:basedOn w:val="Normal"/>
    <w:uiPriority w:val="99"/>
    <w:semiHidden/>
    <w:unhideWhenUsed/>
    <w:rsid w:val="007A6DF1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7956-5B23-495E-B281-F2951ED6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5531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Nº             S</vt:lpstr>
    </vt:vector>
  </TitlesOfParts>
  <Company>Luffi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Nº             S</dc:title>
  <dc:creator>Consejo de la Magistratura</dc:creator>
  <cp:lastModifiedBy>PC2</cp:lastModifiedBy>
  <cp:revision>2</cp:revision>
  <cp:lastPrinted>2019-07-16T11:38:00Z</cp:lastPrinted>
  <dcterms:created xsi:type="dcterms:W3CDTF">2019-07-16T11:52:00Z</dcterms:created>
  <dcterms:modified xsi:type="dcterms:W3CDTF">2019-07-16T11:52:00Z</dcterms:modified>
</cp:coreProperties>
</file>